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AE488">
      <w:pPr>
        <w:pStyle w:val="2"/>
        <w:keepNext w:val="0"/>
        <w:keepLines w:val="0"/>
        <w:widowControl/>
        <w:suppressLineNumbers w:val="0"/>
        <w:spacing w:before="150" w:beforeAutospacing="0" w:after="150" w:afterAutospacing="0"/>
        <w:ind w:left="0" w:right="0"/>
        <w:rPr>
          <w:b/>
          <w:bCs/>
          <w:sz w:val="42"/>
          <w:szCs w:val="42"/>
        </w:rPr>
      </w:pPr>
      <w:r>
        <w:rPr>
          <w:b/>
          <w:bCs/>
          <w:sz w:val="42"/>
          <w:szCs w:val="42"/>
        </w:rPr>
        <w:t>SAFETY DATA SHEETS</w:t>
      </w:r>
    </w:p>
    <w:p w14:paraId="2AD65817">
      <w:pPr>
        <w:pStyle w:val="6"/>
        <w:keepNext w:val="0"/>
        <w:keepLines w:val="0"/>
        <w:widowControl/>
        <w:suppressLineNumbers w:val="0"/>
        <w:spacing w:before="225" w:beforeAutospacing="0" w:after="225" w:afterAutospacing="0"/>
        <w:ind w:left="0" w:right="0"/>
        <w:rPr>
          <w:b/>
          <w:bCs/>
          <w:sz w:val="30"/>
          <w:szCs w:val="30"/>
        </w:rPr>
      </w:pPr>
      <w:r>
        <w:rPr>
          <w:b/>
          <w:bCs/>
          <w:sz w:val="30"/>
          <w:szCs w:val="30"/>
        </w:rPr>
        <w:t>According to the UN GHS revision 11</w:t>
      </w:r>
    </w:p>
    <w:p w14:paraId="00432C25">
      <w:pPr>
        <w:pStyle w:val="6"/>
        <w:keepNext w:val="0"/>
        <w:keepLines w:val="0"/>
        <w:widowControl/>
        <w:suppressLineNumbers w:val="0"/>
        <w:spacing w:before="0" w:beforeAutospacing="0" w:after="0" w:afterAutospacing="0"/>
        <w:ind w:left="0" w:right="0"/>
        <w:jc w:val="right"/>
        <w:rPr>
          <w:sz w:val="18"/>
          <w:szCs w:val="18"/>
        </w:rPr>
      </w:pPr>
      <w:r>
        <w:rPr>
          <w:sz w:val="18"/>
          <w:szCs w:val="18"/>
        </w:rPr>
        <w:t>Version: 1.0</w:t>
      </w:r>
    </w:p>
    <w:p w14:paraId="565A6BF1">
      <w:pPr>
        <w:pStyle w:val="6"/>
        <w:keepNext w:val="0"/>
        <w:keepLines w:val="0"/>
        <w:widowControl/>
        <w:suppressLineNumbers w:val="0"/>
        <w:spacing w:before="0" w:beforeAutospacing="0" w:after="0" w:afterAutospacing="0"/>
        <w:ind w:left="0" w:right="0"/>
        <w:jc w:val="right"/>
        <w:rPr>
          <w:sz w:val="18"/>
          <w:szCs w:val="18"/>
        </w:rPr>
      </w:pPr>
      <w:r>
        <w:rPr>
          <w:sz w:val="18"/>
          <w:szCs w:val="18"/>
        </w:rPr>
        <w:t>Creation Date: October 1</w:t>
      </w:r>
      <w:r>
        <w:rPr>
          <w:rFonts w:hint="eastAsia"/>
          <w:sz w:val="18"/>
          <w:szCs w:val="18"/>
          <w:lang w:val="en-US" w:eastAsia="zh-CN"/>
        </w:rPr>
        <w:t>2</w:t>
      </w:r>
      <w:r>
        <w:rPr>
          <w:sz w:val="18"/>
          <w:szCs w:val="18"/>
        </w:rPr>
        <w:t>, 2025</w:t>
      </w:r>
    </w:p>
    <w:p w14:paraId="570329E7">
      <w:pPr>
        <w:pStyle w:val="6"/>
        <w:keepNext w:val="0"/>
        <w:keepLines w:val="0"/>
        <w:widowControl/>
        <w:suppressLineNumbers w:val="0"/>
        <w:spacing w:before="0" w:beforeAutospacing="0" w:after="0" w:afterAutospacing="0"/>
        <w:ind w:left="0" w:right="0"/>
        <w:jc w:val="right"/>
        <w:rPr>
          <w:sz w:val="18"/>
          <w:szCs w:val="18"/>
        </w:rPr>
      </w:pPr>
      <w:r>
        <w:rPr>
          <w:sz w:val="18"/>
          <w:szCs w:val="18"/>
        </w:rPr>
        <w:t>Revision Date: October 1</w:t>
      </w:r>
      <w:r>
        <w:rPr>
          <w:rFonts w:hint="eastAsia"/>
          <w:sz w:val="18"/>
          <w:szCs w:val="18"/>
          <w:lang w:val="en-US" w:eastAsia="zh-CN"/>
        </w:rPr>
        <w:t>2</w:t>
      </w:r>
      <w:r>
        <w:rPr>
          <w:sz w:val="18"/>
          <w:szCs w:val="18"/>
        </w:rPr>
        <w:t>, 2025</w:t>
      </w:r>
    </w:p>
    <w:p w14:paraId="107618D3">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1: Identification</w:t>
      </w:r>
    </w:p>
    <w:p w14:paraId="5101DCD8">
      <w:pPr>
        <w:pStyle w:val="4"/>
        <w:keepNext w:val="0"/>
        <w:keepLines w:val="0"/>
        <w:widowControl/>
        <w:suppressLineNumbers w:val="0"/>
        <w:spacing w:before="150" w:beforeAutospacing="0" w:after="150" w:afterAutospacing="0"/>
        <w:ind w:left="0" w:right="0"/>
        <w:rPr>
          <w:b/>
          <w:bCs/>
          <w:sz w:val="27"/>
          <w:szCs w:val="27"/>
        </w:rPr>
      </w:pPr>
      <w:r>
        <w:rPr>
          <w:b/>
          <w:bCs/>
          <w:sz w:val="27"/>
          <w:szCs w:val="27"/>
        </w:rPr>
        <w:t>1.1GHS Product identifier</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529"/>
        <w:gridCol w:w="8276"/>
      </w:tblGrid>
      <w:tr w14:paraId="024B2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7EF32174">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Product name</w:t>
            </w:r>
          </w:p>
        </w:tc>
        <w:tc>
          <w:tcPr>
            <w:tcW w:w="8234" w:type="dxa"/>
            <w:tcBorders>
              <w:top w:val="nil"/>
              <w:left w:val="nil"/>
              <w:bottom w:val="nil"/>
              <w:right w:val="nil"/>
            </w:tcBorders>
            <w:shd w:val="clear"/>
            <w:vAlign w:val="top"/>
          </w:tcPr>
          <w:p w14:paraId="7DE1EBA3">
            <w:pPr>
              <w:pStyle w:val="6"/>
              <w:keepNext w:val="0"/>
              <w:keepLines w:val="0"/>
              <w:widowControl/>
              <w:suppressLineNumbers w:val="0"/>
              <w:spacing w:before="0" w:beforeAutospacing="0" w:after="0" w:afterAutospacing="0"/>
              <w:ind w:left="0" w:right="0"/>
              <w:jc w:val="left"/>
              <w:rPr>
                <w:sz w:val="21"/>
                <w:szCs w:val="21"/>
              </w:rPr>
            </w:pPr>
            <w:r>
              <w:rPr>
                <w:sz w:val="21"/>
                <w:szCs w:val="21"/>
              </w:rPr>
              <w:t>4-CPA</w:t>
            </w:r>
          </w:p>
        </w:tc>
      </w:tr>
    </w:tbl>
    <w:p w14:paraId="1EDDA3A3">
      <w:pPr>
        <w:pStyle w:val="4"/>
        <w:keepNext w:val="0"/>
        <w:keepLines w:val="0"/>
        <w:widowControl/>
        <w:suppressLineNumbers w:val="0"/>
        <w:spacing w:before="150" w:beforeAutospacing="0" w:after="150" w:afterAutospacing="0"/>
        <w:ind w:left="0" w:right="0"/>
        <w:rPr>
          <w:b/>
          <w:bCs/>
          <w:sz w:val="27"/>
          <w:szCs w:val="27"/>
        </w:rPr>
      </w:pPr>
      <w:r>
        <w:rPr>
          <w:b/>
          <w:bCs/>
          <w:sz w:val="27"/>
          <w:szCs w:val="27"/>
        </w:rPr>
        <w:t>1.2Other means of identification</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529"/>
        <w:gridCol w:w="8276"/>
      </w:tblGrid>
      <w:tr w14:paraId="32154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5A8D0827">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Product number</w:t>
            </w:r>
          </w:p>
        </w:tc>
        <w:tc>
          <w:tcPr>
            <w:tcW w:w="8234" w:type="dxa"/>
            <w:tcBorders>
              <w:top w:val="nil"/>
              <w:left w:val="nil"/>
              <w:bottom w:val="nil"/>
              <w:right w:val="nil"/>
            </w:tcBorders>
            <w:shd w:val="clear"/>
            <w:vAlign w:val="top"/>
          </w:tcPr>
          <w:p w14:paraId="50FDA177">
            <w:pPr>
              <w:pStyle w:val="6"/>
              <w:keepNext w:val="0"/>
              <w:keepLines w:val="0"/>
              <w:widowControl/>
              <w:suppressLineNumbers w:val="0"/>
              <w:spacing w:before="0" w:beforeAutospacing="0" w:after="0" w:afterAutospacing="0"/>
              <w:ind w:left="0" w:right="0"/>
              <w:jc w:val="left"/>
              <w:rPr>
                <w:sz w:val="21"/>
                <w:szCs w:val="21"/>
              </w:rPr>
            </w:pPr>
            <w:r>
              <w:rPr>
                <w:sz w:val="21"/>
                <w:szCs w:val="21"/>
              </w:rPr>
              <w:t>-</w:t>
            </w:r>
          </w:p>
        </w:tc>
      </w:tr>
      <w:tr w14:paraId="2D181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3EDD78B0">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Other names</w:t>
            </w:r>
          </w:p>
        </w:tc>
        <w:tc>
          <w:tcPr>
            <w:tcW w:w="8234" w:type="dxa"/>
            <w:tcBorders>
              <w:top w:val="nil"/>
              <w:left w:val="nil"/>
              <w:bottom w:val="nil"/>
              <w:right w:val="nil"/>
            </w:tcBorders>
            <w:shd w:val="clear"/>
            <w:vAlign w:val="top"/>
          </w:tcPr>
          <w:p w14:paraId="41406B53">
            <w:pPr>
              <w:pStyle w:val="6"/>
              <w:keepNext w:val="0"/>
              <w:keepLines w:val="0"/>
              <w:widowControl/>
              <w:suppressLineNumbers w:val="0"/>
              <w:spacing w:before="0" w:beforeAutospacing="0" w:after="0" w:afterAutospacing="0"/>
              <w:ind w:left="0" w:right="0"/>
              <w:jc w:val="left"/>
              <w:rPr>
                <w:sz w:val="21"/>
                <w:szCs w:val="21"/>
              </w:rPr>
            </w:pPr>
            <w:r>
              <w:rPr>
                <w:sz w:val="21"/>
                <w:szCs w:val="21"/>
              </w:rPr>
              <w:t>marks4-cpa; parachlorophenoxyacetic acid; Sure-Set</w:t>
            </w:r>
          </w:p>
        </w:tc>
      </w:tr>
    </w:tbl>
    <w:p w14:paraId="207B35B7">
      <w:pPr>
        <w:pStyle w:val="4"/>
        <w:keepNext w:val="0"/>
        <w:keepLines w:val="0"/>
        <w:widowControl/>
        <w:suppressLineNumbers w:val="0"/>
        <w:spacing w:before="150" w:beforeAutospacing="0" w:after="150" w:afterAutospacing="0"/>
        <w:ind w:left="0" w:right="0"/>
        <w:rPr>
          <w:b/>
          <w:bCs/>
          <w:sz w:val="27"/>
          <w:szCs w:val="27"/>
        </w:rPr>
      </w:pPr>
      <w:r>
        <w:rPr>
          <w:b/>
          <w:bCs/>
          <w:sz w:val="27"/>
          <w:szCs w:val="27"/>
        </w:rPr>
        <w:t>1.3Recommended use of the chemical and restrictions on use</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529"/>
        <w:gridCol w:w="8276"/>
      </w:tblGrid>
      <w:tr w14:paraId="2B185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157554B7">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Identified uses</w:t>
            </w:r>
          </w:p>
        </w:tc>
        <w:tc>
          <w:tcPr>
            <w:tcW w:w="8234" w:type="dxa"/>
            <w:tcBorders>
              <w:top w:val="nil"/>
              <w:left w:val="nil"/>
              <w:bottom w:val="nil"/>
              <w:right w:val="nil"/>
            </w:tcBorders>
            <w:shd w:val="clear"/>
            <w:vAlign w:val="top"/>
          </w:tcPr>
          <w:p w14:paraId="77DDBF2F">
            <w:pPr>
              <w:pStyle w:val="6"/>
              <w:keepNext w:val="0"/>
              <w:keepLines w:val="0"/>
              <w:widowControl/>
              <w:suppressLineNumbers w:val="0"/>
              <w:spacing w:before="0" w:beforeAutospacing="0" w:after="0" w:afterAutospacing="0"/>
              <w:ind w:left="0" w:right="0"/>
              <w:jc w:val="left"/>
              <w:rPr>
                <w:sz w:val="21"/>
                <w:szCs w:val="21"/>
              </w:rPr>
            </w:pPr>
            <w:r>
              <w:rPr>
                <w:sz w:val="21"/>
                <w:szCs w:val="21"/>
              </w:rPr>
              <w:t>Industrial and scientific research use.</w:t>
            </w:r>
          </w:p>
        </w:tc>
      </w:tr>
      <w:tr w14:paraId="07260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16CCB1A8">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Uses advised against</w:t>
            </w:r>
          </w:p>
        </w:tc>
        <w:tc>
          <w:tcPr>
            <w:tcW w:w="8234" w:type="dxa"/>
            <w:tcBorders>
              <w:top w:val="nil"/>
              <w:left w:val="nil"/>
              <w:bottom w:val="nil"/>
              <w:right w:val="nil"/>
            </w:tcBorders>
            <w:shd w:val="clear"/>
            <w:vAlign w:val="top"/>
          </w:tcPr>
          <w:p w14:paraId="59553D42">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bl>
    <w:p w14:paraId="379292EB">
      <w:pPr>
        <w:pStyle w:val="4"/>
        <w:keepNext w:val="0"/>
        <w:keepLines w:val="0"/>
        <w:widowControl/>
        <w:suppressLineNumbers w:val="0"/>
        <w:spacing w:before="150" w:beforeAutospacing="0" w:after="150" w:afterAutospacing="0"/>
        <w:ind w:left="0" w:right="0"/>
        <w:rPr>
          <w:b/>
          <w:bCs/>
          <w:sz w:val="27"/>
          <w:szCs w:val="27"/>
        </w:rPr>
      </w:pPr>
      <w:r>
        <w:rPr>
          <w:b/>
          <w:bCs/>
          <w:sz w:val="27"/>
          <w:szCs w:val="27"/>
        </w:rPr>
        <w:t>1.4Supplier's details</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529"/>
        <w:gridCol w:w="8276"/>
      </w:tblGrid>
      <w:tr w14:paraId="0586B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c>
          <w:tcPr>
            <w:tcW w:w="3511" w:type="dxa"/>
            <w:tcBorders>
              <w:top w:val="nil"/>
              <w:left w:val="nil"/>
              <w:bottom w:val="nil"/>
              <w:right w:val="nil"/>
            </w:tcBorders>
            <w:shd w:val="clear"/>
            <w:vAlign w:val="top"/>
          </w:tcPr>
          <w:p w14:paraId="7DDCD133">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Company</w:t>
            </w:r>
          </w:p>
        </w:tc>
        <w:tc>
          <w:tcPr>
            <w:tcW w:w="8234" w:type="dxa"/>
            <w:tcBorders>
              <w:top w:val="nil"/>
              <w:left w:val="nil"/>
              <w:bottom w:val="nil"/>
              <w:right w:val="nil"/>
            </w:tcBorders>
            <w:shd w:val="clear"/>
            <w:vAlign w:val="top"/>
          </w:tcPr>
          <w:p w14:paraId="668B91CF">
            <w:pPr>
              <w:pStyle w:val="6"/>
              <w:keepNext w:val="0"/>
              <w:keepLines w:val="0"/>
              <w:widowControl/>
              <w:suppressLineNumbers w:val="0"/>
              <w:spacing w:before="0" w:beforeAutospacing="0" w:after="0" w:afterAutospacing="0"/>
              <w:ind w:left="0" w:right="0"/>
              <w:jc w:val="left"/>
              <w:rPr>
                <w:sz w:val="21"/>
                <w:szCs w:val="21"/>
              </w:rPr>
            </w:pPr>
            <w:r>
              <w:rPr>
                <w:sz w:val="21"/>
                <w:szCs w:val="21"/>
              </w:rPr>
              <w:t>chemicalbook</w:t>
            </w:r>
          </w:p>
        </w:tc>
      </w:tr>
      <w:tr w14:paraId="7AE73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442917CC">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Address</w:t>
            </w:r>
          </w:p>
        </w:tc>
        <w:tc>
          <w:tcPr>
            <w:tcW w:w="8234" w:type="dxa"/>
            <w:tcBorders>
              <w:top w:val="nil"/>
              <w:left w:val="nil"/>
              <w:bottom w:val="nil"/>
              <w:right w:val="nil"/>
            </w:tcBorders>
            <w:shd w:val="clear"/>
            <w:vAlign w:val="top"/>
          </w:tcPr>
          <w:p w14:paraId="1DCFE75D">
            <w:pPr>
              <w:pStyle w:val="6"/>
              <w:keepNext w:val="0"/>
              <w:keepLines w:val="0"/>
              <w:widowControl/>
              <w:suppressLineNumbers w:val="0"/>
              <w:spacing w:before="0" w:beforeAutospacing="0" w:after="0" w:afterAutospacing="0"/>
              <w:ind w:left="0" w:leftChars="0" w:right="0" w:rightChars="0"/>
              <w:jc w:val="left"/>
              <w:rPr>
                <w:sz w:val="21"/>
                <w:szCs w:val="21"/>
              </w:rPr>
            </w:pPr>
            <w:r>
              <w:rPr>
                <w:rFonts w:hint="eastAsia"/>
                <w:sz w:val="21"/>
                <w:szCs w:val="21"/>
              </w:rPr>
              <w:t>Renmin East Road 3786,Shanyang District, Jiaozuo City, Henan, China</w:t>
            </w:r>
          </w:p>
        </w:tc>
      </w:tr>
      <w:tr w14:paraId="49679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643E0562">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Telephone</w:t>
            </w:r>
          </w:p>
        </w:tc>
        <w:tc>
          <w:tcPr>
            <w:tcW w:w="8234" w:type="dxa"/>
            <w:tcBorders>
              <w:top w:val="nil"/>
              <w:left w:val="nil"/>
              <w:bottom w:val="nil"/>
              <w:right w:val="nil"/>
            </w:tcBorders>
            <w:shd w:val="clear"/>
            <w:vAlign w:val="top"/>
          </w:tcPr>
          <w:p w14:paraId="3D58B7E1">
            <w:pPr>
              <w:pStyle w:val="6"/>
              <w:keepNext w:val="0"/>
              <w:keepLines w:val="0"/>
              <w:widowControl/>
              <w:suppressLineNumbers w:val="0"/>
              <w:spacing w:before="0" w:beforeAutospacing="0" w:after="0" w:afterAutospacing="0"/>
              <w:ind w:left="0" w:right="0"/>
              <w:jc w:val="left"/>
              <w:rPr>
                <w:sz w:val="21"/>
                <w:szCs w:val="21"/>
              </w:rPr>
            </w:pPr>
            <w:r>
              <w:rPr>
                <w:sz w:val="21"/>
                <w:szCs w:val="21"/>
              </w:rPr>
              <w:t>86-</w:t>
            </w:r>
            <w:r>
              <w:rPr>
                <w:rFonts w:hint="eastAsia"/>
                <w:sz w:val="21"/>
                <w:szCs w:val="21"/>
                <w:lang w:val="en-US" w:eastAsia="zh-CN"/>
              </w:rPr>
              <w:t>391</w:t>
            </w:r>
            <w:r>
              <w:rPr>
                <w:sz w:val="21"/>
                <w:szCs w:val="21"/>
              </w:rPr>
              <w:t>-</w:t>
            </w:r>
            <w:r>
              <w:rPr>
                <w:rFonts w:hint="eastAsia"/>
                <w:sz w:val="21"/>
                <w:szCs w:val="21"/>
                <w:lang w:val="en-US" w:eastAsia="zh-CN"/>
              </w:rPr>
              <w:t>2161601</w:t>
            </w:r>
          </w:p>
        </w:tc>
      </w:tr>
    </w:tbl>
    <w:p w14:paraId="18BE0DFA">
      <w:pPr>
        <w:pStyle w:val="4"/>
        <w:keepNext w:val="0"/>
        <w:keepLines w:val="0"/>
        <w:widowControl/>
        <w:suppressLineNumbers w:val="0"/>
        <w:spacing w:before="150" w:beforeAutospacing="0" w:after="150" w:afterAutospacing="0"/>
        <w:ind w:left="0" w:right="0"/>
        <w:rPr>
          <w:b/>
          <w:bCs/>
          <w:sz w:val="27"/>
          <w:szCs w:val="27"/>
        </w:rPr>
      </w:pPr>
      <w:r>
        <w:rPr>
          <w:b/>
          <w:bCs/>
          <w:sz w:val="27"/>
          <w:szCs w:val="27"/>
        </w:rPr>
        <w:t>1.5Emergency phone number</w:t>
      </w:r>
      <w:bookmarkStart w:id="0" w:name="_GoBack"/>
      <w:bookmarkEnd w:id="0"/>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529"/>
        <w:gridCol w:w="8276"/>
      </w:tblGrid>
      <w:tr w14:paraId="7DA34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26B4186B">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Emergency phone number</w:t>
            </w:r>
          </w:p>
        </w:tc>
        <w:tc>
          <w:tcPr>
            <w:tcW w:w="8234" w:type="dxa"/>
            <w:tcBorders>
              <w:top w:val="nil"/>
              <w:left w:val="nil"/>
              <w:bottom w:val="nil"/>
              <w:right w:val="nil"/>
            </w:tcBorders>
            <w:shd w:val="clear"/>
            <w:vAlign w:val="top"/>
          </w:tcPr>
          <w:p w14:paraId="778BF2A9">
            <w:pPr>
              <w:pStyle w:val="6"/>
              <w:keepNext w:val="0"/>
              <w:keepLines w:val="0"/>
              <w:widowControl/>
              <w:suppressLineNumbers w:val="0"/>
              <w:spacing w:before="0" w:beforeAutospacing="0" w:after="0" w:afterAutospacing="0"/>
              <w:ind w:left="0" w:right="0"/>
              <w:jc w:val="left"/>
              <w:rPr>
                <w:sz w:val="21"/>
                <w:szCs w:val="21"/>
              </w:rPr>
            </w:pPr>
            <w:r>
              <w:rPr>
                <w:rFonts w:hint="eastAsia"/>
                <w:sz w:val="21"/>
                <w:szCs w:val="21"/>
                <w:lang w:val="en-US" w:eastAsia="zh-CN"/>
              </w:rPr>
              <w:t>13608638553</w:t>
            </w:r>
          </w:p>
        </w:tc>
      </w:tr>
      <w:tr w14:paraId="2B029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730C9909">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Service hours</w:t>
            </w:r>
          </w:p>
        </w:tc>
        <w:tc>
          <w:tcPr>
            <w:tcW w:w="8234" w:type="dxa"/>
            <w:tcBorders>
              <w:top w:val="nil"/>
              <w:left w:val="nil"/>
              <w:bottom w:val="nil"/>
              <w:right w:val="nil"/>
            </w:tcBorders>
            <w:shd w:val="clear"/>
            <w:vAlign w:val="top"/>
          </w:tcPr>
          <w:p w14:paraId="74FEEECE">
            <w:pPr>
              <w:pStyle w:val="6"/>
              <w:keepNext w:val="0"/>
              <w:keepLines w:val="0"/>
              <w:widowControl/>
              <w:suppressLineNumbers w:val="0"/>
              <w:spacing w:before="0" w:beforeAutospacing="0" w:after="0" w:afterAutospacing="0"/>
              <w:ind w:left="0" w:right="0"/>
              <w:jc w:val="left"/>
              <w:rPr>
                <w:sz w:val="21"/>
                <w:szCs w:val="21"/>
              </w:rPr>
            </w:pPr>
            <w:r>
              <w:rPr>
                <w:sz w:val="21"/>
                <w:szCs w:val="21"/>
              </w:rPr>
              <w:t>Monday to Friday, 9am-5pm (Standard time zone: UTC/GMT +8 hours).</w:t>
            </w:r>
          </w:p>
        </w:tc>
      </w:tr>
    </w:tbl>
    <w:p w14:paraId="702F88AC">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2: Hazard identification</w:t>
      </w:r>
    </w:p>
    <w:p w14:paraId="7DD91525">
      <w:pPr>
        <w:pStyle w:val="4"/>
        <w:keepNext w:val="0"/>
        <w:keepLines w:val="0"/>
        <w:widowControl/>
        <w:suppressLineNumbers w:val="0"/>
        <w:spacing w:before="150" w:beforeAutospacing="0" w:after="150" w:afterAutospacing="0"/>
        <w:ind w:left="0" w:right="0"/>
        <w:rPr>
          <w:b/>
          <w:bCs/>
          <w:sz w:val="27"/>
          <w:szCs w:val="27"/>
        </w:rPr>
      </w:pPr>
      <w:r>
        <w:rPr>
          <w:b/>
          <w:bCs/>
          <w:sz w:val="27"/>
          <w:szCs w:val="27"/>
        </w:rPr>
        <w:t>2.1Classification of the substance or mixture</w:t>
      </w:r>
    </w:p>
    <w:p w14:paraId="3874FC8B">
      <w:pPr>
        <w:pStyle w:val="6"/>
        <w:keepNext w:val="0"/>
        <w:keepLines w:val="0"/>
        <w:widowControl/>
        <w:suppressLineNumbers w:val="0"/>
        <w:spacing w:before="0" w:beforeAutospacing="0" w:after="0" w:afterAutospacing="0"/>
        <w:ind w:left="0" w:right="0"/>
        <w:rPr>
          <w:sz w:val="21"/>
          <w:szCs w:val="21"/>
        </w:rPr>
      </w:pPr>
      <w:r>
        <w:rPr>
          <w:sz w:val="21"/>
          <w:szCs w:val="21"/>
        </w:rPr>
        <w:t>Acute toxicity - Category 4, Oral</w:t>
      </w:r>
    </w:p>
    <w:p w14:paraId="3EBDBCFC">
      <w:pPr>
        <w:pStyle w:val="4"/>
        <w:keepNext w:val="0"/>
        <w:keepLines w:val="0"/>
        <w:widowControl/>
        <w:suppressLineNumbers w:val="0"/>
        <w:spacing w:before="150" w:beforeAutospacing="0" w:after="150" w:afterAutospacing="0"/>
        <w:ind w:left="0" w:right="0"/>
        <w:rPr>
          <w:b/>
          <w:bCs/>
          <w:sz w:val="27"/>
          <w:szCs w:val="27"/>
        </w:rPr>
      </w:pPr>
      <w:r>
        <w:rPr>
          <w:b/>
          <w:bCs/>
          <w:sz w:val="27"/>
          <w:szCs w:val="27"/>
        </w:rPr>
        <w:t>2.2GHS label elements, including precautionary statements</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529"/>
        <w:gridCol w:w="8276"/>
      </w:tblGrid>
      <w:tr w14:paraId="5018A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1BA1D646">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Pictogram(s)</w:t>
            </w:r>
          </w:p>
        </w:tc>
        <w:tc>
          <w:tcPr>
            <w:tcW w:w="8234" w:type="dxa"/>
            <w:tcBorders>
              <w:top w:val="nil"/>
              <w:left w:val="nil"/>
              <w:bottom w:val="nil"/>
              <w:right w:val="nil"/>
            </w:tcBorders>
            <w:shd w:val="clear"/>
            <w:vAlign w:val="top"/>
          </w:tcPr>
          <w:p w14:paraId="7865B822">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drawing>
                <wp:inline distT="0" distB="0" distL="114300" distR="114300">
                  <wp:extent cx="857250" cy="8572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857250" cy="857250"/>
                          </a:xfrm>
                          <a:prstGeom prst="rect">
                            <a:avLst/>
                          </a:prstGeom>
                          <a:noFill/>
                          <a:ln w="9525">
                            <a:noFill/>
                          </a:ln>
                        </pic:spPr>
                      </pic:pic>
                    </a:graphicData>
                  </a:graphic>
                </wp:inline>
              </w:drawing>
            </w:r>
          </w:p>
        </w:tc>
      </w:tr>
      <w:tr w14:paraId="01203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71DA7EB1">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Signal word</w:t>
            </w:r>
          </w:p>
        </w:tc>
        <w:tc>
          <w:tcPr>
            <w:tcW w:w="8234" w:type="dxa"/>
            <w:tcBorders>
              <w:top w:val="nil"/>
              <w:left w:val="nil"/>
              <w:bottom w:val="nil"/>
              <w:right w:val="nil"/>
            </w:tcBorders>
            <w:shd w:val="clear"/>
            <w:vAlign w:val="top"/>
          </w:tcPr>
          <w:p w14:paraId="6903443B">
            <w:pPr>
              <w:pStyle w:val="6"/>
              <w:keepNext w:val="0"/>
              <w:keepLines w:val="0"/>
              <w:widowControl/>
              <w:suppressLineNumbers w:val="0"/>
              <w:spacing w:before="0" w:beforeAutospacing="0" w:after="0" w:afterAutospacing="0"/>
              <w:ind w:left="0" w:right="0"/>
              <w:jc w:val="left"/>
              <w:rPr>
                <w:sz w:val="21"/>
                <w:szCs w:val="21"/>
              </w:rPr>
            </w:pPr>
            <w:r>
              <w:rPr>
                <w:sz w:val="21"/>
                <w:szCs w:val="21"/>
              </w:rPr>
              <w:t>Warning</w:t>
            </w:r>
          </w:p>
        </w:tc>
      </w:tr>
      <w:tr w14:paraId="5AA2B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63F7D453">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Hazard statement(s)</w:t>
            </w:r>
          </w:p>
        </w:tc>
        <w:tc>
          <w:tcPr>
            <w:tcW w:w="8234" w:type="dxa"/>
            <w:tcBorders>
              <w:top w:val="nil"/>
              <w:left w:val="nil"/>
              <w:bottom w:val="nil"/>
              <w:right w:val="nil"/>
            </w:tcBorders>
            <w:shd w:val="clear"/>
            <w:vAlign w:val="top"/>
          </w:tcPr>
          <w:p w14:paraId="2C469D21">
            <w:pPr>
              <w:pStyle w:val="6"/>
              <w:keepNext w:val="0"/>
              <w:keepLines w:val="0"/>
              <w:widowControl/>
              <w:suppressLineNumbers w:val="0"/>
              <w:spacing w:before="0" w:beforeAutospacing="0" w:after="0" w:afterAutospacing="0"/>
              <w:ind w:left="0" w:right="0"/>
              <w:jc w:val="left"/>
              <w:rPr>
                <w:sz w:val="21"/>
                <w:szCs w:val="21"/>
              </w:rPr>
            </w:pPr>
            <w:r>
              <w:rPr>
                <w:sz w:val="21"/>
                <w:szCs w:val="21"/>
              </w:rPr>
              <w:t>H302 Harmful if swallowed</w:t>
            </w:r>
          </w:p>
        </w:tc>
      </w:tr>
      <w:tr w14:paraId="04D32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gridSpan w:val="2"/>
            <w:tcBorders>
              <w:top w:val="nil"/>
              <w:left w:val="nil"/>
              <w:bottom w:val="nil"/>
              <w:right w:val="nil"/>
            </w:tcBorders>
            <w:shd w:val="clear"/>
            <w:vAlign w:val="top"/>
          </w:tcPr>
          <w:p w14:paraId="478BD5F2">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Precautionary statement(s)</w:t>
            </w:r>
          </w:p>
        </w:tc>
      </w:tr>
      <w:tr w14:paraId="1F362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751133D0">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Prevention</w:t>
            </w:r>
          </w:p>
        </w:tc>
        <w:tc>
          <w:tcPr>
            <w:tcW w:w="8234" w:type="dxa"/>
            <w:tcBorders>
              <w:top w:val="nil"/>
              <w:left w:val="nil"/>
              <w:bottom w:val="nil"/>
              <w:right w:val="nil"/>
            </w:tcBorders>
            <w:shd w:val="clear"/>
            <w:vAlign w:val="top"/>
          </w:tcPr>
          <w:p w14:paraId="103ABACB">
            <w:pPr>
              <w:pStyle w:val="6"/>
              <w:keepNext w:val="0"/>
              <w:keepLines w:val="0"/>
              <w:widowControl/>
              <w:suppressLineNumbers w:val="0"/>
              <w:spacing w:before="0" w:beforeAutospacing="0" w:after="0" w:afterAutospacing="0"/>
              <w:ind w:left="0" w:right="0"/>
              <w:jc w:val="left"/>
              <w:rPr>
                <w:sz w:val="21"/>
                <w:szCs w:val="21"/>
              </w:rPr>
            </w:pPr>
            <w:r>
              <w:rPr>
                <w:sz w:val="21"/>
                <w:szCs w:val="21"/>
              </w:rPr>
              <w:t>P264 Wash ... thoroughly after handling.</w:t>
            </w:r>
          </w:p>
          <w:p w14:paraId="1FEB2DA4">
            <w:pPr>
              <w:pStyle w:val="6"/>
              <w:keepNext w:val="0"/>
              <w:keepLines w:val="0"/>
              <w:widowControl/>
              <w:suppressLineNumbers w:val="0"/>
              <w:spacing w:before="0" w:beforeAutospacing="0" w:after="0" w:afterAutospacing="0"/>
              <w:ind w:left="0" w:right="0"/>
              <w:jc w:val="left"/>
              <w:rPr>
                <w:sz w:val="21"/>
                <w:szCs w:val="21"/>
              </w:rPr>
            </w:pPr>
            <w:r>
              <w:rPr>
                <w:sz w:val="21"/>
                <w:szCs w:val="21"/>
              </w:rPr>
              <w:t>P270 Do not eat, drink or smoke when using this product.</w:t>
            </w:r>
          </w:p>
        </w:tc>
      </w:tr>
      <w:tr w14:paraId="7233D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1FA4D094">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Response</w:t>
            </w:r>
          </w:p>
        </w:tc>
        <w:tc>
          <w:tcPr>
            <w:tcW w:w="8234" w:type="dxa"/>
            <w:tcBorders>
              <w:top w:val="nil"/>
              <w:left w:val="nil"/>
              <w:bottom w:val="nil"/>
              <w:right w:val="nil"/>
            </w:tcBorders>
            <w:shd w:val="clear"/>
            <w:vAlign w:val="top"/>
          </w:tcPr>
          <w:p w14:paraId="72554762">
            <w:pPr>
              <w:pStyle w:val="6"/>
              <w:keepNext w:val="0"/>
              <w:keepLines w:val="0"/>
              <w:widowControl/>
              <w:suppressLineNumbers w:val="0"/>
              <w:spacing w:before="0" w:beforeAutospacing="0" w:after="0" w:afterAutospacing="0"/>
              <w:ind w:left="0" w:right="0"/>
              <w:jc w:val="left"/>
              <w:rPr>
                <w:sz w:val="21"/>
                <w:szCs w:val="21"/>
              </w:rPr>
            </w:pPr>
            <w:r>
              <w:rPr>
                <w:sz w:val="21"/>
                <w:szCs w:val="21"/>
              </w:rPr>
              <w:t>P301+P317 IF SWALLOWED: Get medical help.</w:t>
            </w:r>
          </w:p>
          <w:p w14:paraId="3B8CFB60">
            <w:pPr>
              <w:pStyle w:val="6"/>
              <w:keepNext w:val="0"/>
              <w:keepLines w:val="0"/>
              <w:widowControl/>
              <w:suppressLineNumbers w:val="0"/>
              <w:spacing w:before="0" w:beforeAutospacing="0" w:after="0" w:afterAutospacing="0"/>
              <w:ind w:left="0" w:right="0"/>
              <w:jc w:val="left"/>
              <w:rPr>
                <w:sz w:val="21"/>
                <w:szCs w:val="21"/>
              </w:rPr>
            </w:pPr>
            <w:r>
              <w:rPr>
                <w:sz w:val="21"/>
                <w:szCs w:val="21"/>
              </w:rPr>
              <w:t>P330 Rinse mouth.</w:t>
            </w:r>
          </w:p>
        </w:tc>
      </w:tr>
      <w:tr w14:paraId="4A906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586DCE2E">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Storage</w:t>
            </w:r>
          </w:p>
        </w:tc>
        <w:tc>
          <w:tcPr>
            <w:tcW w:w="8234" w:type="dxa"/>
            <w:tcBorders>
              <w:top w:val="nil"/>
              <w:left w:val="nil"/>
              <w:bottom w:val="nil"/>
              <w:right w:val="nil"/>
            </w:tcBorders>
            <w:shd w:val="clear"/>
            <w:vAlign w:val="top"/>
          </w:tcPr>
          <w:p w14:paraId="1141DF9B">
            <w:pPr>
              <w:pStyle w:val="6"/>
              <w:keepNext w:val="0"/>
              <w:keepLines w:val="0"/>
              <w:widowControl/>
              <w:suppressLineNumbers w:val="0"/>
              <w:spacing w:before="0" w:beforeAutospacing="0" w:after="0" w:afterAutospacing="0"/>
              <w:ind w:left="0" w:right="0"/>
              <w:jc w:val="left"/>
              <w:rPr>
                <w:sz w:val="21"/>
                <w:szCs w:val="21"/>
              </w:rPr>
            </w:pPr>
            <w:r>
              <w:rPr>
                <w:sz w:val="21"/>
                <w:szCs w:val="21"/>
              </w:rPr>
              <w:t>none</w:t>
            </w:r>
          </w:p>
        </w:tc>
      </w:tr>
      <w:tr w14:paraId="7ADC6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74365EC3">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Disposal</w:t>
            </w:r>
          </w:p>
        </w:tc>
        <w:tc>
          <w:tcPr>
            <w:tcW w:w="8234" w:type="dxa"/>
            <w:tcBorders>
              <w:top w:val="nil"/>
              <w:left w:val="nil"/>
              <w:bottom w:val="nil"/>
              <w:right w:val="nil"/>
            </w:tcBorders>
            <w:shd w:val="clear"/>
            <w:vAlign w:val="top"/>
          </w:tcPr>
          <w:p w14:paraId="0B686D1D">
            <w:pPr>
              <w:pStyle w:val="6"/>
              <w:keepNext w:val="0"/>
              <w:keepLines w:val="0"/>
              <w:widowControl/>
              <w:suppressLineNumbers w:val="0"/>
              <w:spacing w:before="0" w:beforeAutospacing="0" w:after="0" w:afterAutospacing="0"/>
              <w:ind w:left="0" w:right="0"/>
              <w:jc w:val="left"/>
              <w:rPr>
                <w:sz w:val="21"/>
                <w:szCs w:val="21"/>
              </w:rPr>
            </w:pPr>
            <w:r>
              <w:rPr>
                <w:sz w:val="21"/>
                <w:szCs w:val="21"/>
              </w:rPr>
              <w:t>P501 Dispose of contents/container to an appropriate treatment and disposal facility in accordance with applicable laws and regulations, and product characteristics at time of disposal.</w:t>
            </w:r>
          </w:p>
        </w:tc>
      </w:tr>
    </w:tbl>
    <w:p w14:paraId="6E77006D">
      <w:pPr>
        <w:pStyle w:val="4"/>
        <w:keepNext w:val="0"/>
        <w:keepLines w:val="0"/>
        <w:widowControl/>
        <w:suppressLineNumbers w:val="0"/>
        <w:spacing w:before="150" w:beforeAutospacing="0" w:after="150" w:afterAutospacing="0"/>
        <w:ind w:left="0" w:right="0"/>
        <w:rPr>
          <w:b/>
          <w:bCs/>
          <w:sz w:val="27"/>
          <w:szCs w:val="27"/>
        </w:rPr>
      </w:pPr>
      <w:r>
        <w:rPr>
          <w:b/>
          <w:bCs/>
          <w:sz w:val="27"/>
          <w:szCs w:val="27"/>
        </w:rPr>
        <w:t>2.3Other hazards which do not result in classification</w:t>
      </w:r>
    </w:p>
    <w:p w14:paraId="729448A2">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109B3D92">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3: Composition/information on ingredients</w:t>
      </w:r>
    </w:p>
    <w:p w14:paraId="1548E7AD">
      <w:pPr>
        <w:pStyle w:val="4"/>
        <w:keepNext w:val="0"/>
        <w:keepLines w:val="0"/>
        <w:widowControl/>
        <w:suppressLineNumbers w:val="0"/>
        <w:spacing w:before="150" w:beforeAutospacing="0" w:after="150" w:afterAutospacing="0"/>
        <w:ind w:left="0" w:right="0"/>
        <w:rPr>
          <w:b/>
          <w:bCs/>
          <w:sz w:val="27"/>
          <w:szCs w:val="27"/>
        </w:rPr>
      </w:pPr>
      <w:r>
        <w:rPr>
          <w:b/>
          <w:bCs/>
          <w:sz w:val="27"/>
          <w:szCs w:val="27"/>
        </w:rPr>
        <w:t>3.1Substances</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196"/>
        <w:gridCol w:w="4179"/>
        <w:gridCol w:w="1700"/>
        <w:gridCol w:w="1534"/>
        <w:gridCol w:w="2196"/>
      </w:tblGrid>
      <w:tr w14:paraId="553C1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vAlign w:val="center"/>
          </w:tcPr>
          <w:p w14:paraId="5660D919">
            <w:pPr>
              <w:keepNext w:val="0"/>
              <w:keepLines w:val="0"/>
              <w:widowControl/>
              <w:suppressLineNumbers w:val="0"/>
              <w:jc w:val="center"/>
              <w:rPr>
                <w:b/>
                <w:bCs/>
                <w:sz w:val="21"/>
                <w:szCs w:val="21"/>
              </w:rPr>
            </w:pPr>
            <w:r>
              <w:rPr>
                <w:rFonts w:ascii="宋体" w:hAnsi="宋体" w:eastAsia="宋体" w:cs="宋体"/>
                <w:b/>
                <w:bCs/>
                <w:kern w:val="0"/>
                <w:sz w:val="21"/>
                <w:szCs w:val="21"/>
                <w:bdr w:val="none" w:color="auto" w:sz="0" w:space="0"/>
                <w:lang w:val="en-US" w:eastAsia="zh-CN" w:bidi="ar"/>
              </w:rPr>
              <w:t>Chemical name</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2E925355">
            <w:pPr>
              <w:keepNext w:val="0"/>
              <w:keepLines w:val="0"/>
              <w:widowControl/>
              <w:suppressLineNumbers w:val="0"/>
              <w:jc w:val="center"/>
              <w:rPr>
                <w:b/>
                <w:bCs/>
                <w:sz w:val="21"/>
                <w:szCs w:val="21"/>
              </w:rPr>
            </w:pPr>
            <w:r>
              <w:rPr>
                <w:rFonts w:ascii="宋体" w:hAnsi="宋体" w:eastAsia="宋体" w:cs="宋体"/>
                <w:b/>
                <w:bCs/>
                <w:kern w:val="0"/>
                <w:sz w:val="21"/>
                <w:szCs w:val="21"/>
                <w:bdr w:val="none" w:color="auto" w:sz="0" w:space="0"/>
                <w:lang w:val="en-US" w:eastAsia="zh-CN" w:bidi="ar"/>
              </w:rPr>
              <w:t>Common names and synonyms</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0CCF7A7A">
            <w:pPr>
              <w:keepNext w:val="0"/>
              <w:keepLines w:val="0"/>
              <w:widowControl/>
              <w:suppressLineNumbers w:val="0"/>
              <w:jc w:val="center"/>
              <w:rPr>
                <w:b/>
                <w:bCs/>
                <w:sz w:val="21"/>
                <w:szCs w:val="21"/>
              </w:rPr>
            </w:pPr>
            <w:r>
              <w:rPr>
                <w:rFonts w:ascii="宋体" w:hAnsi="宋体" w:eastAsia="宋体" w:cs="宋体"/>
                <w:b/>
                <w:bCs/>
                <w:kern w:val="0"/>
                <w:sz w:val="21"/>
                <w:szCs w:val="21"/>
                <w:bdr w:val="none" w:color="auto" w:sz="0" w:space="0"/>
                <w:lang w:val="en-US" w:eastAsia="zh-CN" w:bidi="ar"/>
              </w:rPr>
              <w:t>CAS number</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6BB21A83">
            <w:pPr>
              <w:keepNext w:val="0"/>
              <w:keepLines w:val="0"/>
              <w:widowControl/>
              <w:suppressLineNumbers w:val="0"/>
              <w:jc w:val="center"/>
              <w:rPr>
                <w:b/>
                <w:bCs/>
                <w:sz w:val="21"/>
                <w:szCs w:val="21"/>
              </w:rPr>
            </w:pPr>
            <w:r>
              <w:rPr>
                <w:rFonts w:ascii="宋体" w:hAnsi="宋体" w:eastAsia="宋体" w:cs="宋体"/>
                <w:b/>
                <w:bCs/>
                <w:kern w:val="0"/>
                <w:sz w:val="21"/>
                <w:szCs w:val="21"/>
                <w:bdr w:val="none" w:color="auto" w:sz="0" w:space="0"/>
                <w:lang w:val="en-US" w:eastAsia="zh-CN" w:bidi="ar"/>
              </w:rPr>
              <w:t>EC number</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239B1B30">
            <w:pPr>
              <w:keepNext w:val="0"/>
              <w:keepLines w:val="0"/>
              <w:widowControl/>
              <w:suppressLineNumbers w:val="0"/>
              <w:jc w:val="center"/>
              <w:rPr>
                <w:b/>
                <w:bCs/>
                <w:sz w:val="21"/>
                <w:szCs w:val="21"/>
              </w:rPr>
            </w:pPr>
            <w:r>
              <w:rPr>
                <w:rFonts w:ascii="宋体" w:hAnsi="宋体" w:eastAsia="宋体" w:cs="宋体"/>
                <w:b/>
                <w:bCs/>
                <w:kern w:val="0"/>
                <w:sz w:val="21"/>
                <w:szCs w:val="21"/>
                <w:bdr w:val="none" w:color="auto" w:sz="0" w:space="0"/>
                <w:lang w:val="en-US" w:eastAsia="zh-CN" w:bidi="ar"/>
              </w:rPr>
              <w:t>Concentration</w:t>
            </w:r>
          </w:p>
        </w:tc>
      </w:tr>
      <w:tr w14:paraId="729C5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vAlign w:val="center"/>
          </w:tcPr>
          <w:p w14:paraId="02041601">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4-CPA</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57414E52">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4-CPA</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4B1C425F">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122-88-3</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3ED90E13">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204-581-3</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255B38E0">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100%</w:t>
            </w:r>
          </w:p>
        </w:tc>
      </w:tr>
    </w:tbl>
    <w:p w14:paraId="68D513A4">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4: First-aid measures</w:t>
      </w:r>
    </w:p>
    <w:p w14:paraId="532B2AE9">
      <w:pPr>
        <w:pStyle w:val="4"/>
        <w:keepNext w:val="0"/>
        <w:keepLines w:val="0"/>
        <w:widowControl/>
        <w:suppressLineNumbers w:val="0"/>
        <w:spacing w:before="150" w:beforeAutospacing="0" w:after="150" w:afterAutospacing="0"/>
        <w:ind w:left="0" w:right="0"/>
        <w:rPr>
          <w:b/>
          <w:bCs/>
          <w:sz w:val="27"/>
          <w:szCs w:val="27"/>
        </w:rPr>
      </w:pPr>
      <w:r>
        <w:rPr>
          <w:b/>
          <w:bCs/>
          <w:sz w:val="27"/>
          <w:szCs w:val="27"/>
        </w:rPr>
        <w:t>4.1Description of necessary first-aid measures</w:t>
      </w:r>
    </w:p>
    <w:p w14:paraId="1F2EC393">
      <w:pPr>
        <w:pStyle w:val="5"/>
        <w:keepNext w:val="0"/>
        <w:keepLines w:val="0"/>
        <w:widowControl/>
        <w:suppressLineNumbers w:val="0"/>
        <w:spacing w:before="150" w:beforeAutospacing="0" w:after="150" w:afterAutospacing="0"/>
        <w:ind w:left="0" w:right="0"/>
        <w:rPr>
          <w:b/>
          <w:bCs/>
          <w:sz w:val="21"/>
          <w:szCs w:val="21"/>
        </w:rPr>
      </w:pPr>
      <w:r>
        <w:rPr>
          <w:b/>
          <w:bCs/>
          <w:sz w:val="21"/>
          <w:szCs w:val="21"/>
        </w:rPr>
        <w:t>If inhaled</w:t>
      </w:r>
    </w:p>
    <w:p w14:paraId="3D66E364">
      <w:pPr>
        <w:pStyle w:val="6"/>
        <w:keepNext w:val="0"/>
        <w:keepLines w:val="0"/>
        <w:widowControl/>
        <w:suppressLineNumbers w:val="0"/>
        <w:spacing w:before="0" w:beforeAutospacing="0" w:after="0" w:afterAutospacing="0"/>
        <w:ind w:left="0" w:right="0"/>
        <w:rPr>
          <w:sz w:val="21"/>
          <w:szCs w:val="21"/>
        </w:rPr>
      </w:pPr>
      <w:r>
        <w:rPr>
          <w:sz w:val="21"/>
          <w:szCs w:val="21"/>
        </w:rPr>
        <w:t>Move the victim into fresh air. If breathing is difficult, give oxygen. If not breathing, give artificial respiration and consult a doctor immediately. Do not use mouth to mouth resuscitation if the victim ingested or inhaled the chemical.</w:t>
      </w:r>
    </w:p>
    <w:p w14:paraId="6C79FC87">
      <w:pPr>
        <w:pStyle w:val="5"/>
        <w:keepNext w:val="0"/>
        <w:keepLines w:val="0"/>
        <w:widowControl/>
        <w:suppressLineNumbers w:val="0"/>
        <w:spacing w:before="150" w:beforeAutospacing="0" w:after="150" w:afterAutospacing="0"/>
        <w:ind w:left="0" w:right="0"/>
        <w:rPr>
          <w:b/>
          <w:bCs/>
          <w:sz w:val="21"/>
          <w:szCs w:val="21"/>
        </w:rPr>
      </w:pPr>
      <w:r>
        <w:rPr>
          <w:b/>
          <w:bCs/>
          <w:sz w:val="21"/>
          <w:szCs w:val="21"/>
        </w:rPr>
        <w:t>Following skin contact</w:t>
      </w:r>
    </w:p>
    <w:p w14:paraId="26FEE4A3">
      <w:pPr>
        <w:pStyle w:val="6"/>
        <w:keepNext w:val="0"/>
        <w:keepLines w:val="0"/>
        <w:widowControl/>
        <w:suppressLineNumbers w:val="0"/>
        <w:spacing w:before="0" w:beforeAutospacing="0" w:after="0" w:afterAutospacing="0"/>
        <w:ind w:left="0" w:right="0"/>
        <w:rPr>
          <w:sz w:val="21"/>
          <w:szCs w:val="21"/>
        </w:rPr>
      </w:pPr>
      <w:r>
        <w:rPr>
          <w:sz w:val="21"/>
          <w:szCs w:val="21"/>
        </w:rPr>
        <w:t>Take off contaminated clothing immediately. Wash off with soap and plenty of water. Consult a doctor.</w:t>
      </w:r>
    </w:p>
    <w:p w14:paraId="77D2CC62">
      <w:pPr>
        <w:pStyle w:val="5"/>
        <w:keepNext w:val="0"/>
        <w:keepLines w:val="0"/>
        <w:widowControl/>
        <w:suppressLineNumbers w:val="0"/>
        <w:spacing w:before="150" w:beforeAutospacing="0" w:after="150" w:afterAutospacing="0"/>
        <w:ind w:left="0" w:right="0"/>
        <w:rPr>
          <w:b/>
          <w:bCs/>
          <w:sz w:val="21"/>
          <w:szCs w:val="21"/>
        </w:rPr>
      </w:pPr>
      <w:r>
        <w:rPr>
          <w:b/>
          <w:bCs/>
          <w:sz w:val="21"/>
          <w:szCs w:val="21"/>
        </w:rPr>
        <w:t>Following eye contact</w:t>
      </w:r>
    </w:p>
    <w:p w14:paraId="424E7095">
      <w:pPr>
        <w:pStyle w:val="6"/>
        <w:keepNext w:val="0"/>
        <w:keepLines w:val="0"/>
        <w:widowControl/>
        <w:suppressLineNumbers w:val="0"/>
        <w:spacing w:before="0" w:beforeAutospacing="0" w:after="0" w:afterAutospacing="0"/>
        <w:ind w:left="0" w:right="0"/>
        <w:rPr>
          <w:sz w:val="21"/>
          <w:szCs w:val="21"/>
        </w:rPr>
      </w:pPr>
      <w:r>
        <w:rPr>
          <w:sz w:val="21"/>
          <w:szCs w:val="21"/>
        </w:rPr>
        <w:t>Rinse with pure water for at least 15 minutes. Consult a doctor.</w:t>
      </w:r>
    </w:p>
    <w:p w14:paraId="4E000472">
      <w:pPr>
        <w:pStyle w:val="5"/>
        <w:keepNext w:val="0"/>
        <w:keepLines w:val="0"/>
        <w:widowControl/>
        <w:suppressLineNumbers w:val="0"/>
        <w:spacing w:before="150" w:beforeAutospacing="0" w:after="150" w:afterAutospacing="0"/>
        <w:ind w:left="0" w:right="0"/>
        <w:rPr>
          <w:b/>
          <w:bCs/>
          <w:sz w:val="21"/>
          <w:szCs w:val="21"/>
        </w:rPr>
      </w:pPr>
      <w:r>
        <w:rPr>
          <w:b/>
          <w:bCs/>
          <w:sz w:val="21"/>
          <w:szCs w:val="21"/>
        </w:rPr>
        <w:t>Following ingestion</w:t>
      </w:r>
    </w:p>
    <w:p w14:paraId="3ADF27FE">
      <w:pPr>
        <w:pStyle w:val="6"/>
        <w:keepNext w:val="0"/>
        <w:keepLines w:val="0"/>
        <w:widowControl/>
        <w:suppressLineNumbers w:val="0"/>
        <w:spacing w:before="0" w:beforeAutospacing="0" w:after="0" w:afterAutospacing="0"/>
        <w:ind w:left="0" w:right="0"/>
        <w:rPr>
          <w:sz w:val="21"/>
          <w:szCs w:val="21"/>
        </w:rPr>
      </w:pPr>
      <w:r>
        <w:rPr>
          <w:sz w:val="21"/>
          <w:szCs w:val="21"/>
        </w:rPr>
        <w:t>Rinse mouth with water. Do not induce vomiting. Never give anything by mouth to an unconscious person. Call a doctor or Poison Control Center immediately.</w:t>
      </w:r>
    </w:p>
    <w:p w14:paraId="78BB306C">
      <w:pPr>
        <w:pStyle w:val="4"/>
        <w:keepNext w:val="0"/>
        <w:keepLines w:val="0"/>
        <w:widowControl/>
        <w:suppressLineNumbers w:val="0"/>
        <w:spacing w:before="150" w:beforeAutospacing="0" w:after="150" w:afterAutospacing="0"/>
        <w:ind w:left="0" w:right="0"/>
        <w:rPr>
          <w:b/>
          <w:bCs/>
          <w:sz w:val="27"/>
          <w:szCs w:val="27"/>
        </w:rPr>
      </w:pPr>
      <w:r>
        <w:rPr>
          <w:b/>
          <w:bCs/>
          <w:sz w:val="27"/>
          <w:szCs w:val="27"/>
        </w:rPr>
        <w:t>4.2Most important symptoms/effects, acute and delayed</w:t>
      </w:r>
    </w:p>
    <w:p w14:paraId="23FE0CB4">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6EC10A7C">
      <w:pPr>
        <w:pStyle w:val="4"/>
        <w:keepNext w:val="0"/>
        <w:keepLines w:val="0"/>
        <w:widowControl/>
        <w:suppressLineNumbers w:val="0"/>
        <w:spacing w:before="150" w:beforeAutospacing="0" w:after="150" w:afterAutospacing="0"/>
        <w:ind w:left="0" w:right="0"/>
        <w:rPr>
          <w:b/>
          <w:bCs/>
          <w:sz w:val="27"/>
          <w:szCs w:val="27"/>
        </w:rPr>
      </w:pPr>
      <w:r>
        <w:rPr>
          <w:b/>
          <w:bCs/>
          <w:sz w:val="27"/>
          <w:szCs w:val="27"/>
        </w:rPr>
        <w:t>4.3Indication of immediate medical attention and special treatment needed, if necessary</w:t>
      </w:r>
    </w:p>
    <w:p w14:paraId="28107F1A">
      <w:pPr>
        <w:pStyle w:val="6"/>
        <w:keepNext w:val="0"/>
        <w:keepLines w:val="0"/>
        <w:widowControl/>
        <w:suppressLineNumbers w:val="0"/>
        <w:spacing w:before="0" w:beforeAutospacing="0" w:after="0" w:afterAutospacing="0"/>
        <w:ind w:left="0" w:right="0"/>
        <w:rPr>
          <w:sz w:val="21"/>
          <w:szCs w:val="21"/>
        </w:rPr>
      </w:pPr>
      <w:r>
        <w:rPr>
          <w:sz w:val="21"/>
          <w:szCs w:val="21"/>
        </w:rPr>
        <w:t>If any symptoms of illness occur during or following inhalation of spray, remove victim from contact with the material for at least 2 to 3 days. Allow subsequent contact with chlorophenoxy compounds only if effective respiratory protection is practiced. Chlorophenoxy compounds</w:t>
      </w:r>
    </w:p>
    <w:p w14:paraId="49B2AD0D">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5: Fire-fighting measures</w:t>
      </w:r>
    </w:p>
    <w:p w14:paraId="05F6F43F">
      <w:pPr>
        <w:pStyle w:val="4"/>
        <w:keepNext w:val="0"/>
        <w:keepLines w:val="0"/>
        <w:widowControl/>
        <w:suppressLineNumbers w:val="0"/>
        <w:spacing w:before="150" w:beforeAutospacing="0" w:after="150" w:afterAutospacing="0"/>
        <w:ind w:left="0" w:right="0"/>
        <w:rPr>
          <w:b/>
          <w:bCs/>
          <w:sz w:val="27"/>
          <w:szCs w:val="27"/>
        </w:rPr>
      </w:pPr>
      <w:r>
        <w:rPr>
          <w:b/>
          <w:bCs/>
          <w:sz w:val="27"/>
          <w:szCs w:val="27"/>
        </w:rPr>
        <w:t>5.1Suitable extinguishing media</w:t>
      </w:r>
    </w:p>
    <w:p w14:paraId="680EA4D4">
      <w:pPr>
        <w:pStyle w:val="6"/>
        <w:keepNext w:val="0"/>
        <w:keepLines w:val="0"/>
        <w:widowControl/>
        <w:suppressLineNumbers w:val="0"/>
        <w:spacing w:before="0" w:beforeAutospacing="0" w:after="0" w:afterAutospacing="0"/>
        <w:ind w:left="0" w:right="0"/>
        <w:rPr>
          <w:sz w:val="21"/>
          <w:szCs w:val="21"/>
        </w:rPr>
      </w:pPr>
      <w:r>
        <w:rPr>
          <w:sz w:val="21"/>
          <w:szCs w:val="21"/>
        </w:rPr>
        <w:t>Use dry chemical, carbon dioxide or alcohol-resistant foam.</w:t>
      </w:r>
    </w:p>
    <w:p w14:paraId="65818964">
      <w:pPr>
        <w:pStyle w:val="4"/>
        <w:keepNext w:val="0"/>
        <w:keepLines w:val="0"/>
        <w:widowControl/>
        <w:suppressLineNumbers w:val="0"/>
        <w:spacing w:before="150" w:beforeAutospacing="0" w:after="150" w:afterAutospacing="0"/>
        <w:ind w:left="0" w:right="0"/>
        <w:rPr>
          <w:b/>
          <w:bCs/>
          <w:sz w:val="27"/>
          <w:szCs w:val="27"/>
        </w:rPr>
      </w:pPr>
      <w:r>
        <w:rPr>
          <w:b/>
          <w:bCs/>
          <w:sz w:val="27"/>
          <w:szCs w:val="27"/>
        </w:rPr>
        <w:t>5.2Specific hazards arising from the chemical</w:t>
      </w:r>
    </w:p>
    <w:p w14:paraId="62A99075">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49D56D4E">
      <w:pPr>
        <w:pStyle w:val="4"/>
        <w:keepNext w:val="0"/>
        <w:keepLines w:val="0"/>
        <w:widowControl/>
        <w:suppressLineNumbers w:val="0"/>
        <w:spacing w:before="150" w:beforeAutospacing="0" w:after="150" w:afterAutospacing="0"/>
        <w:ind w:left="0" w:right="0"/>
        <w:rPr>
          <w:b/>
          <w:bCs/>
          <w:sz w:val="27"/>
          <w:szCs w:val="27"/>
        </w:rPr>
      </w:pPr>
      <w:r>
        <w:rPr>
          <w:b/>
          <w:bCs/>
          <w:sz w:val="27"/>
          <w:szCs w:val="27"/>
        </w:rPr>
        <w:t>5.3Special protective actions for fire-fighters</w:t>
      </w:r>
    </w:p>
    <w:p w14:paraId="375FB91A">
      <w:pPr>
        <w:pStyle w:val="6"/>
        <w:keepNext w:val="0"/>
        <w:keepLines w:val="0"/>
        <w:widowControl/>
        <w:suppressLineNumbers w:val="0"/>
        <w:spacing w:before="0" w:beforeAutospacing="0" w:after="0" w:afterAutospacing="0"/>
        <w:ind w:left="0" w:right="0"/>
        <w:rPr>
          <w:sz w:val="21"/>
          <w:szCs w:val="21"/>
        </w:rPr>
      </w:pPr>
      <w:r>
        <w:rPr>
          <w:sz w:val="21"/>
          <w:szCs w:val="21"/>
        </w:rPr>
        <w:t>Wear self-contained breathing apparatus for firefighting if necessary.</w:t>
      </w:r>
    </w:p>
    <w:p w14:paraId="2863F15A">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6: Accidental release measures</w:t>
      </w:r>
    </w:p>
    <w:p w14:paraId="7661D834">
      <w:pPr>
        <w:pStyle w:val="4"/>
        <w:keepNext w:val="0"/>
        <w:keepLines w:val="0"/>
        <w:widowControl/>
        <w:suppressLineNumbers w:val="0"/>
        <w:spacing w:before="150" w:beforeAutospacing="0" w:after="150" w:afterAutospacing="0"/>
        <w:ind w:left="0" w:right="0"/>
        <w:rPr>
          <w:b/>
          <w:bCs/>
          <w:sz w:val="27"/>
          <w:szCs w:val="27"/>
        </w:rPr>
      </w:pPr>
      <w:r>
        <w:rPr>
          <w:b/>
          <w:bCs/>
          <w:sz w:val="27"/>
          <w:szCs w:val="27"/>
        </w:rPr>
        <w:t>6.1Personal precautions, protective equipment and emergency procedures</w:t>
      </w:r>
    </w:p>
    <w:p w14:paraId="22800102">
      <w:pPr>
        <w:pStyle w:val="6"/>
        <w:keepNext w:val="0"/>
        <w:keepLines w:val="0"/>
        <w:widowControl/>
        <w:suppressLineNumbers w:val="0"/>
        <w:spacing w:before="0" w:beforeAutospacing="0" w:after="0" w:afterAutospacing="0"/>
        <w:ind w:left="0" w:right="0"/>
        <w:rPr>
          <w:sz w:val="21"/>
          <w:szCs w:val="21"/>
        </w:rPr>
      </w:pPr>
      <w:r>
        <w:rPr>
          <w:sz w:val="21"/>
          <w:szCs w:val="21"/>
        </w:rPr>
        <w:t>Avoid dust formation. Avoid breathing mist, gas or vapours.Avoid contacting with skin and eye. Use personal protective equipment.Wear chemical impermeable gloves. Ensure adequate ventilation.Remove all sources of ignition. Evacuate personnel to safe areas.Keep people away from and upwind of spill/leak.</w:t>
      </w:r>
    </w:p>
    <w:p w14:paraId="365BFC85">
      <w:pPr>
        <w:pStyle w:val="4"/>
        <w:keepNext w:val="0"/>
        <w:keepLines w:val="0"/>
        <w:widowControl/>
        <w:suppressLineNumbers w:val="0"/>
        <w:spacing w:before="150" w:beforeAutospacing="0" w:after="150" w:afterAutospacing="0"/>
        <w:ind w:left="0" w:right="0"/>
        <w:rPr>
          <w:b/>
          <w:bCs/>
          <w:sz w:val="27"/>
          <w:szCs w:val="27"/>
        </w:rPr>
      </w:pPr>
      <w:r>
        <w:rPr>
          <w:b/>
          <w:bCs/>
          <w:sz w:val="27"/>
          <w:szCs w:val="27"/>
        </w:rPr>
        <w:t>6.2Environmental precautions</w:t>
      </w:r>
    </w:p>
    <w:p w14:paraId="60E80872">
      <w:pPr>
        <w:pStyle w:val="6"/>
        <w:keepNext w:val="0"/>
        <w:keepLines w:val="0"/>
        <w:widowControl/>
        <w:suppressLineNumbers w:val="0"/>
        <w:spacing w:before="0" w:beforeAutospacing="0" w:after="0" w:afterAutospacing="0"/>
        <w:ind w:left="0" w:right="0"/>
        <w:rPr>
          <w:sz w:val="21"/>
          <w:szCs w:val="21"/>
        </w:rPr>
      </w:pPr>
      <w:r>
        <w:rPr>
          <w:sz w:val="21"/>
          <w:szCs w:val="21"/>
        </w:rPr>
        <w:t>Prevent further spillage or leakage if it is safe to do so. Do not let the chemical enter drains. Discharge into the environment must be avoided.</w:t>
      </w:r>
    </w:p>
    <w:p w14:paraId="76727A8E">
      <w:pPr>
        <w:pStyle w:val="4"/>
        <w:keepNext w:val="0"/>
        <w:keepLines w:val="0"/>
        <w:widowControl/>
        <w:suppressLineNumbers w:val="0"/>
        <w:spacing w:before="150" w:beforeAutospacing="0" w:after="150" w:afterAutospacing="0"/>
        <w:ind w:left="0" w:right="0"/>
        <w:rPr>
          <w:b/>
          <w:bCs/>
          <w:sz w:val="27"/>
          <w:szCs w:val="27"/>
        </w:rPr>
      </w:pPr>
      <w:r>
        <w:rPr>
          <w:b/>
          <w:bCs/>
          <w:sz w:val="27"/>
          <w:szCs w:val="27"/>
        </w:rPr>
        <w:t>6.3Methods and materials for containment and cleaning up</w:t>
      </w:r>
    </w:p>
    <w:p w14:paraId="3D00A598">
      <w:pPr>
        <w:pStyle w:val="6"/>
        <w:keepNext w:val="0"/>
        <w:keepLines w:val="0"/>
        <w:widowControl/>
        <w:suppressLineNumbers w:val="0"/>
        <w:spacing w:before="0" w:beforeAutospacing="0" w:after="0" w:afterAutospacing="0"/>
        <w:ind w:left="0" w:right="0"/>
        <w:rPr>
          <w:sz w:val="21"/>
          <w:szCs w:val="21"/>
        </w:rPr>
      </w:pPr>
      <w:r>
        <w:rPr>
          <w:sz w:val="21"/>
          <w:szCs w:val="21"/>
        </w:rPr>
        <w:t>If material is released or spilled, flush with water .</w:t>
      </w:r>
    </w:p>
    <w:p w14:paraId="3838C426">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7: Handling and storage</w:t>
      </w:r>
    </w:p>
    <w:p w14:paraId="5719EDB4">
      <w:pPr>
        <w:pStyle w:val="4"/>
        <w:keepNext w:val="0"/>
        <w:keepLines w:val="0"/>
        <w:widowControl/>
        <w:suppressLineNumbers w:val="0"/>
        <w:spacing w:before="150" w:beforeAutospacing="0" w:after="150" w:afterAutospacing="0"/>
        <w:ind w:left="0" w:right="0"/>
        <w:rPr>
          <w:b/>
          <w:bCs/>
          <w:sz w:val="27"/>
          <w:szCs w:val="27"/>
        </w:rPr>
      </w:pPr>
      <w:r>
        <w:rPr>
          <w:b/>
          <w:bCs/>
          <w:sz w:val="27"/>
          <w:szCs w:val="27"/>
        </w:rPr>
        <w:t>7.1Precautions for safe handling</w:t>
      </w:r>
    </w:p>
    <w:p w14:paraId="5629993F">
      <w:pPr>
        <w:pStyle w:val="6"/>
        <w:keepNext w:val="0"/>
        <w:keepLines w:val="0"/>
        <w:widowControl/>
        <w:suppressLineNumbers w:val="0"/>
        <w:spacing w:before="0" w:beforeAutospacing="0" w:after="0" w:afterAutospacing="0"/>
        <w:ind w:left="0" w:right="0"/>
        <w:rPr>
          <w:sz w:val="21"/>
          <w:szCs w:val="21"/>
        </w:rPr>
      </w:pPr>
      <w:r>
        <w:rPr>
          <w:sz w:val="21"/>
          <w:szCs w:val="21"/>
        </w:rPr>
        <w:t>Handling in a well ventilated place. Wear suitable protective clothing. Avoid contact with skin and eyes. Avoid formation of dust and aerosols. Use non-sparking tools. Prevent fire caused by electrostatic discharge steam.</w:t>
      </w:r>
    </w:p>
    <w:p w14:paraId="1D871E27">
      <w:pPr>
        <w:pStyle w:val="4"/>
        <w:keepNext w:val="0"/>
        <w:keepLines w:val="0"/>
        <w:widowControl/>
        <w:suppressLineNumbers w:val="0"/>
        <w:spacing w:before="150" w:beforeAutospacing="0" w:after="150" w:afterAutospacing="0"/>
        <w:ind w:left="0" w:right="0"/>
        <w:rPr>
          <w:b/>
          <w:bCs/>
          <w:sz w:val="27"/>
          <w:szCs w:val="27"/>
        </w:rPr>
      </w:pPr>
      <w:r>
        <w:rPr>
          <w:b/>
          <w:bCs/>
          <w:sz w:val="27"/>
          <w:szCs w:val="27"/>
        </w:rPr>
        <w:t>7.2Conditions for safe storage, including any incompatibilities</w:t>
      </w:r>
    </w:p>
    <w:p w14:paraId="18964CBE">
      <w:pPr>
        <w:pStyle w:val="6"/>
        <w:keepNext w:val="0"/>
        <w:keepLines w:val="0"/>
        <w:widowControl/>
        <w:suppressLineNumbers w:val="0"/>
        <w:spacing w:before="0" w:beforeAutospacing="0" w:after="0" w:afterAutospacing="0"/>
        <w:ind w:left="0" w:right="0"/>
        <w:rPr>
          <w:sz w:val="21"/>
          <w:szCs w:val="21"/>
        </w:rPr>
      </w:pPr>
      <w:r>
        <w:rPr>
          <w:sz w:val="21"/>
          <w:szCs w:val="21"/>
        </w:rPr>
        <w:t>Store the container tightly closed in a dry, cool and well-ventilated place. Store apart from foodstuff containers or incompatible materials.</w:t>
      </w:r>
    </w:p>
    <w:p w14:paraId="47FB15E8">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8: Exposure controls/personal protection</w:t>
      </w:r>
    </w:p>
    <w:p w14:paraId="5D6947F3">
      <w:pPr>
        <w:pStyle w:val="4"/>
        <w:keepNext w:val="0"/>
        <w:keepLines w:val="0"/>
        <w:widowControl/>
        <w:suppressLineNumbers w:val="0"/>
        <w:spacing w:before="150" w:beforeAutospacing="0" w:after="150" w:afterAutospacing="0"/>
        <w:ind w:left="0" w:right="0"/>
        <w:rPr>
          <w:b/>
          <w:bCs/>
          <w:sz w:val="27"/>
          <w:szCs w:val="27"/>
        </w:rPr>
      </w:pPr>
      <w:r>
        <w:rPr>
          <w:b/>
          <w:bCs/>
          <w:sz w:val="27"/>
          <w:szCs w:val="27"/>
        </w:rPr>
        <w:t>8.1Control parameters</w:t>
      </w:r>
    </w:p>
    <w:p w14:paraId="3888FD57">
      <w:pPr>
        <w:pStyle w:val="5"/>
        <w:keepNext w:val="0"/>
        <w:keepLines w:val="0"/>
        <w:widowControl/>
        <w:suppressLineNumbers w:val="0"/>
        <w:spacing w:before="150" w:beforeAutospacing="0" w:after="150" w:afterAutospacing="0"/>
        <w:ind w:left="0" w:right="0"/>
        <w:rPr>
          <w:b/>
          <w:bCs/>
          <w:sz w:val="21"/>
          <w:szCs w:val="21"/>
        </w:rPr>
      </w:pPr>
      <w:r>
        <w:rPr>
          <w:b/>
          <w:bCs/>
          <w:sz w:val="21"/>
          <w:szCs w:val="21"/>
        </w:rPr>
        <w:t>Occupational Exposure limit values</w:t>
      </w:r>
    </w:p>
    <w:p w14:paraId="08A4E449">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50EEFD62">
      <w:pPr>
        <w:pStyle w:val="5"/>
        <w:keepNext w:val="0"/>
        <w:keepLines w:val="0"/>
        <w:widowControl/>
        <w:suppressLineNumbers w:val="0"/>
        <w:spacing w:before="150" w:beforeAutospacing="0" w:after="150" w:afterAutospacing="0"/>
        <w:ind w:left="0" w:right="0"/>
        <w:rPr>
          <w:b/>
          <w:bCs/>
          <w:sz w:val="21"/>
          <w:szCs w:val="21"/>
        </w:rPr>
      </w:pPr>
      <w:r>
        <w:rPr>
          <w:b/>
          <w:bCs/>
          <w:sz w:val="21"/>
          <w:szCs w:val="21"/>
        </w:rPr>
        <w:t>Biological limit values</w:t>
      </w:r>
    </w:p>
    <w:p w14:paraId="2889024B">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24A153D2">
      <w:pPr>
        <w:pStyle w:val="4"/>
        <w:keepNext w:val="0"/>
        <w:keepLines w:val="0"/>
        <w:widowControl/>
        <w:suppressLineNumbers w:val="0"/>
        <w:spacing w:before="150" w:beforeAutospacing="0" w:after="150" w:afterAutospacing="0"/>
        <w:ind w:left="0" w:right="0"/>
        <w:rPr>
          <w:b/>
          <w:bCs/>
          <w:sz w:val="27"/>
          <w:szCs w:val="27"/>
        </w:rPr>
      </w:pPr>
      <w:r>
        <w:rPr>
          <w:b/>
          <w:bCs/>
          <w:sz w:val="27"/>
          <w:szCs w:val="27"/>
        </w:rPr>
        <w:t>8.2Appropriate engineering controls</w:t>
      </w:r>
    </w:p>
    <w:p w14:paraId="5B13FC5A">
      <w:pPr>
        <w:pStyle w:val="6"/>
        <w:keepNext w:val="0"/>
        <w:keepLines w:val="0"/>
        <w:widowControl/>
        <w:suppressLineNumbers w:val="0"/>
        <w:spacing w:before="0" w:beforeAutospacing="0" w:after="0" w:afterAutospacing="0"/>
        <w:ind w:left="0" w:right="0"/>
        <w:rPr>
          <w:sz w:val="21"/>
          <w:szCs w:val="21"/>
        </w:rPr>
      </w:pPr>
      <w:r>
        <w:rPr>
          <w:sz w:val="21"/>
          <w:szCs w:val="21"/>
        </w:rPr>
        <w:t>Ensure adequate ventilation. Handle in accordance with good industrial hygiene and safety practice. Set up emergency exits and the risk-elimination area.</w:t>
      </w:r>
    </w:p>
    <w:p w14:paraId="4ED877F1">
      <w:pPr>
        <w:pStyle w:val="4"/>
        <w:keepNext w:val="0"/>
        <w:keepLines w:val="0"/>
        <w:widowControl/>
        <w:suppressLineNumbers w:val="0"/>
        <w:spacing w:before="150" w:beforeAutospacing="0" w:after="150" w:afterAutospacing="0"/>
        <w:ind w:left="0" w:right="0"/>
        <w:rPr>
          <w:b/>
          <w:bCs/>
          <w:sz w:val="27"/>
          <w:szCs w:val="27"/>
        </w:rPr>
      </w:pPr>
      <w:r>
        <w:rPr>
          <w:b/>
          <w:bCs/>
          <w:sz w:val="27"/>
          <w:szCs w:val="27"/>
        </w:rPr>
        <w:t>8.3Individual protection measures, such as personal protective equipment (PPE)</w:t>
      </w:r>
    </w:p>
    <w:p w14:paraId="68E20A94">
      <w:pPr>
        <w:pStyle w:val="5"/>
        <w:keepNext w:val="0"/>
        <w:keepLines w:val="0"/>
        <w:widowControl/>
        <w:suppressLineNumbers w:val="0"/>
        <w:spacing w:before="150" w:beforeAutospacing="0" w:after="150" w:afterAutospacing="0"/>
        <w:ind w:left="0" w:right="0"/>
        <w:rPr>
          <w:b/>
          <w:bCs/>
          <w:sz w:val="21"/>
          <w:szCs w:val="21"/>
        </w:rPr>
      </w:pPr>
      <w:r>
        <w:rPr>
          <w:b/>
          <w:bCs/>
          <w:sz w:val="21"/>
          <w:szCs w:val="21"/>
        </w:rPr>
        <w:t>Eye/face protection</w:t>
      </w:r>
    </w:p>
    <w:p w14:paraId="52A7792F">
      <w:pPr>
        <w:pStyle w:val="6"/>
        <w:keepNext w:val="0"/>
        <w:keepLines w:val="0"/>
        <w:widowControl/>
        <w:suppressLineNumbers w:val="0"/>
        <w:spacing w:before="0" w:beforeAutospacing="0" w:after="0" w:afterAutospacing="0"/>
        <w:ind w:left="0" w:right="0"/>
        <w:rPr>
          <w:sz w:val="21"/>
          <w:szCs w:val="21"/>
        </w:rPr>
      </w:pPr>
      <w:r>
        <w:rPr>
          <w:sz w:val="21"/>
          <w:szCs w:val="21"/>
        </w:rPr>
        <w:t>Wear tightly fitting safety goggles with side-shields conforming to EN 166(EU) or NIOSH (US).</w:t>
      </w:r>
    </w:p>
    <w:p w14:paraId="7F669226">
      <w:pPr>
        <w:pStyle w:val="5"/>
        <w:keepNext w:val="0"/>
        <w:keepLines w:val="0"/>
        <w:widowControl/>
        <w:suppressLineNumbers w:val="0"/>
        <w:spacing w:before="150" w:beforeAutospacing="0" w:after="150" w:afterAutospacing="0"/>
        <w:ind w:left="0" w:right="0"/>
        <w:rPr>
          <w:b/>
          <w:bCs/>
          <w:sz w:val="21"/>
          <w:szCs w:val="21"/>
        </w:rPr>
      </w:pPr>
      <w:r>
        <w:rPr>
          <w:b/>
          <w:bCs/>
          <w:sz w:val="21"/>
          <w:szCs w:val="21"/>
        </w:rPr>
        <w:t>Skin protection</w:t>
      </w:r>
    </w:p>
    <w:p w14:paraId="23C56729">
      <w:pPr>
        <w:pStyle w:val="6"/>
        <w:keepNext w:val="0"/>
        <w:keepLines w:val="0"/>
        <w:widowControl/>
        <w:suppressLineNumbers w:val="0"/>
        <w:spacing w:before="0" w:beforeAutospacing="0" w:after="0" w:afterAutospacing="0"/>
        <w:ind w:left="0" w:right="0"/>
        <w:rPr>
          <w:sz w:val="21"/>
          <w:szCs w:val="21"/>
        </w:rPr>
      </w:pPr>
      <w:r>
        <w:rPr>
          <w:sz w:val="21"/>
          <w:szCs w:val="21"/>
        </w:rPr>
        <w:t>Wear fire/flame resistant and impervious clothing. Handle with gloves. Gloves must be inspected prior to use. Wash and dry hands. The selected protective gloves have to satisfy the specifications of EU Directive 89/686/EEC and the standard EN 374 derived from it.</w:t>
      </w:r>
    </w:p>
    <w:p w14:paraId="19A35348">
      <w:pPr>
        <w:pStyle w:val="5"/>
        <w:keepNext w:val="0"/>
        <w:keepLines w:val="0"/>
        <w:widowControl/>
        <w:suppressLineNumbers w:val="0"/>
        <w:spacing w:before="150" w:beforeAutospacing="0" w:after="150" w:afterAutospacing="0"/>
        <w:ind w:left="0" w:right="0"/>
        <w:rPr>
          <w:b/>
          <w:bCs/>
          <w:sz w:val="21"/>
          <w:szCs w:val="21"/>
        </w:rPr>
      </w:pPr>
      <w:r>
        <w:rPr>
          <w:b/>
          <w:bCs/>
          <w:sz w:val="21"/>
          <w:szCs w:val="21"/>
        </w:rPr>
        <w:t>Respiratory protection</w:t>
      </w:r>
    </w:p>
    <w:p w14:paraId="4BA828DF">
      <w:pPr>
        <w:pStyle w:val="6"/>
        <w:keepNext w:val="0"/>
        <w:keepLines w:val="0"/>
        <w:widowControl/>
        <w:suppressLineNumbers w:val="0"/>
        <w:spacing w:before="0" w:beforeAutospacing="0" w:after="0" w:afterAutospacing="0"/>
        <w:ind w:left="0" w:right="0"/>
        <w:rPr>
          <w:sz w:val="21"/>
          <w:szCs w:val="21"/>
        </w:rPr>
      </w:pPr>
      <w:r>
        <w:rPr>
          <w:sz w:val="21"/>
          <w:szCs w:val="21"/>
        </w:rPr>
        <w:t>If the exposure limits are exceeded, irritation or other symptoms are experienced, use a full-face respirator.</w:t>
      </w:r>
    </w:p>
    <w:p w14:paraId="3C339DF8">
      <w:pPr>
        <w:pStyle w:val="5"/>
        <w:keepNext w:val="0"/>
        <w:keepLines w:val="0"/>
        <w:widowControl/>
        <w:suppressLineNumbers w:val="0"/>
        <w:spacing w:before="150" w:beforeAutospacing="0" w:after="150" w:afterAutospacing="0"/>
        <w:ind w:left="0" w:right="0"/>
        <w:rPr>
          <w:b/>
          <w:bCs/>
          <w:sz w:val="21"/>
          <w:szCs w:val="21"/>
        </w:rPr>
      </w:pPr>
      <w:r>
        <w:rPr>
          <w:b/>
          <w:bCs/>
          <w:sz w:val="21"/>
          <w:szCs w:val="21"/>
        </w:rPr>
        <w:t>Thermal hazards</w:t>
      </w:r>
    </w:p>
    <w:p w14:paraId="20AA0ABB">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48CBC7AF">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9: Physical and chemical properties and safety characteristics</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529"/>
        <w:gridCol w:w="8276"/>
      </w:tblGrid>
      <w:tr w14:paraId="1459C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191DE30D">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Physical state</w:t>
            </w:r>
          </w:p>
        </w:tc>
        <w:tc>
          <w:tcPr>
            <w:tcW w:w="8234" w:type="dxa"/>
            <w:tcBorders>
              <w:top w:val="nil"/>
              <w:left w:val="nil"/>
              <w:bottom w:val="nil"/>
              <w:right w:val="nil"/>
            </w:tcBorders>
            <w:shd w:val="clear"/>
            <w:vAlign w:val="top"/>
          </w:tcPr>
          <w:p w14:paraId="48539E8A">
            <w:pPr>
              <w:pStyle w:val="6"/>
              <w:keepNext w:val="0"/>
              <w:keepLines w:val="0"/>
              <w:widowControl/>
              <w:suppressLineNumbers w:val="0"/>
              <w:spacing w:before="0" w:beforeAutospacing="0" w:after="0" w:afterAutospacing="0"/>
              <w:ind w:left="0" w:right="0"/>
              <w:jc w:val="left"/>
              <w:rPr>
                <w:sz w:val="21"/>
                <w:szCs w:val="21"/>
              </w:rPr>
            </w:pPr>
            <w:r>
              <w:rPr>
                <w:sz w:val="21"/>
                <w:szCs w:val="21"/>
              </w:rPr>
              <w:t>white to light beige powder</w:t>
            </w:r>
          </w:p>
        </w:tc>
      </w:tr>
      <w:tr w14:paraId="6E89C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5A286ED8">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Colour</w:t>
            </w:r>
          </w:p>
        </w:tc>
        <w:tc>
          <w:tcPr>
            <w:tcW w:w="8234" w:type="dxa"/>
            <w:tcBorders>
              <w:top w:val="nil"/>
              <w:left w:val="nil"/>
              <w:bottom w:val="nil"/>
              <w:right w:val="nil"/>
            </w:tcBorders>
            <w:shd w:val="clear"/>
            <w:vAlign w:val="top"/>
          </w:tcPr>
          <w:p w14:paraId="7F5442A6">
            <w:pPr>
              <w:pStyle w:val="6"/>
              <w:keepNext w:val="0"/>
              <w:keepLines w:val="0"/>
              <w:widowControl/>
              <w:suppressLineNumbers w:val="0"/>
              <w:spacing w:before="0" w:beforeAutospacing="0" w:after="0" w:afterAutospacing="0"/>
              <w:ind w:left="0" w:right="0"/>
              <w:jc w:val="left"/>
              <w:rPr>
                <w:sz w:val="21"/>
                <w:szCs w:val="21"/>
              </w:rPr>
            </w:pPr>
            <w:r>
              <w:rPr>
                <w:sz w:val="21"/>
                <w:szCs w:val="21"/>
              </w:rPr>
              <w:t>Prisms or needles from water</w:t>
            </w:r>
          </w:p>
        </w:tc>
      </w:tr>
      <w:tr w14:paraId="28EB0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134F78F5">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Odour</w:t>
            </w:r>
          </w:p>
        </w:tc>
        <w:tc>
          <w:tcPr>
            <w:tcW w:w="8234" w:type="dxa"/>
            <w:tcBorders>
              <w:top w:val="nil"/>
              <w:left w:val="nil"/>
              <w:bottom w:val="nil"/>
              <w:right w:val="nil"/>
            </w:tcBorders>
            <w:shd w:val="clear"/>
            <w:vAlign w:val="top"/>
          </w:tcPr>
          <w:p w14:paraId="27D8469D">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r w14:paraId="13F8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0E87121A">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Melting point/freezing point</w:t>
            </w:r>
          </w:p>
        </w:tc>
        <w:tc>
          <w:tcPr>
            <w:tcW w:w="8234" w:type="dxa"/>
            <w:tcBorders>
              <w:top w:val="nil"/>
              <w:left w:val="nil"/>
              <w:bottom w:val="nil"/>
              <w:right w:val="nil"/>
            </w:tcBorders>
            <w:shd w:val="clear"/>
            <w:vAlign w:val="top"/>
          </w:tcPr>
          <w:p w14:paraId="3026922A">
            <w:pPr>
              <w:pStyle w:val="6"/>
              <w:keepNext w:val="0"/>
              <w:keepLines w:val="0"/>
              <w:widowControl/>
              <w:suppressLineNumbers w:val="0"/>
              <w:spacing w:before="0" w:beforeAutospacing="0" w:after="0" w:afterAutospacing="0"/>
              <w:ind w:left="0" w:right="0"/>
              <w:jc w:val="left"/>
              <w:rPr>
                <w:sz w:val="21"/>
                <w:szCs w:val="21"/>
              </w:rPr>
            </w:pPr>
            <w:r>
              <w:rPr>
                <w:sz w:val="21"/>
                <w:szCs w:val="21"/>
              </w:rPr>
              <w:t>157-159°C</w:t>
            </w:r>
          </w:p>
        </w:tc>
      </w:tr>
      <w:tr w14:paraId="72DDA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7E15387E">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Boiling point or initial boiling point and boiling range</w:t>
            </w:r>
          </w:p>
        </w:tc>
        <w:tc>
          <w:tcPr>
            <w:tcW w:w="8234" w:type="dxa"/>
            <w:tcBorders>
              <w:top w:val="nil"/>
              <w:left w:val="nil"/>
              <w:bottom w:val="nil"/>
              <w:right w:val="nil"/>
            </w:tcBorders>
            <w:shd w:val="clear"/>
            <w:vAlign w:val="top"/>
          </w:tcPr>
          <w:p w14:paraId="43367F44">
            <w:pPr>
              <w:pStyle w:val="6"/>
              <w:keepNext w:val="0"/>
              <w:keepLines w:val="0"/>
              <w:widowControl/>
              <w:suppressLineNumbers w:val="0"/>
              <w:spacing w:before="0" w:beforeAutospacing="0" w:after="0" w:afterAutospacing="0"/>
              <w:ind w:left="0" w:right="0"/>
              <w:jc w:val="left"/>
              <w:rPr>
                <w:sz w:val="21"/>
                <w:szCs w:val="21"/>
              </w:rPr>
            </w:pPr>
            <w:r>
              <w:rPr>
                <w:sz w:val="21"/>
                <w:szCs w:val="21"/>
              </w:rPr>
              <w:t>315.2°C at 760mmHg</w:t>
            </w:r>
          </w:p>
        </w:tc>
      </w:tr>
      <w:tr w14:paraId="40B7A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60C8CE20">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Flammability</w:t>
            </w:r>
          </w:p>
        </w:tc>
        <w:tc>
          <w:tcPr>
            <w:tcW w:w="8234" w:type="dxa"/>
            <w:tcBorders>
              <w:top w:val="nil"/>
              <w:left w:val="nil"/>
              <w:bottom w:val="nil"/>
              <w:right w:val="nil"/>
            </w:tcBorders>
            <w:shd w:val="clear"/>
            <w:vAlign w:val="top"/>
          </w:tcPr>
          <w:p w14:paraId="0FF255E1">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r w14:paraId="61494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050839B7">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Lower and upper explosion limit/flammability limit</w:t>
            </w:r>
          </w:p>
        </w:tc>
        <w:tc>
          <w:tcPr>
            <w:tcW w:w="8234" w:type="dxa"/>
            <w:tcBorders>
              <w:top w:val="nil"/>
              <w:left w:val="nil"/>
              <w:bottom w:val="nil"/>
              <w:right w:val="nil"/>
            </w:tcBorders>
            <w:shd w:val="clear"/>
            <w:vAlign w:val="top"/>
          </w:tcPr>
          <w:p w14:paraId="0B3F5A1B">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r w14:paraId="3EC0F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7BEF1A8F">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Flash point</w:t>
            </w:r>
          </w:p>
        </w:tc>
        <w:tc>
          <w:tcPr>
            <w:tcW w:w="8234" w:type="dxa"/>
            <w:tcBorders>
              <w:top w:val="nil"/>
              <w:left w:val="nil"/>
              <w:bottom w:val="nil"/>
              <w:right w:val="nil"/>
            </w:tcBorders>
            <w:shd w:val="clear"/>
            <w:vAlign w:val="top"/>
          </w:tcPr>
          <w:p w14:paraId="3872B4A3">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r w14:paraId="13FD9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0EAE9ED9">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Auto-ignition temperature</w:t>
            </w:r>
          </w:p>
        </w:tc>
        <w:tc>
          <w:tcPr>
            <w:tcW w:w="8234" w:type="dxa"/>
            <w:tcBorders>
              <w:top w:val="nil"/>
              <w:left w:val="nil"/>
              <w:bottom w:val="nil"/>
              <w:right w:val="nil"/>
            </w:tcBorders>
            <w:shd w:val="clear"/>
            <w:vAlign w:val="top"/>
          </w:tcPr>
          <w:p w14:paraId="5EE0F7EF">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r w14:paraId="1E56F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0DDDF790">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Decomposition temperature</w:t>
            </w:r>
          </w:p>
        </w:tc>
        <w:tc>
          <w:tcPr>
            <w:tcW w:w="8234" w:type="dxa"/>
            <w:tcBorders>
              <w:top w:val="nil"/>
              <w:left w:val="nil"/>
              <w:bottom w:val="nil"/>
              <w:right w:val="nil"/>
            </w:tcBorders>
            <w:shd w:val="clear"/>
            <w:vAlign w:val="top"/>
          </w:tcPr>
          <w:p w14:paraId="5F13A21F">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r w14:paraId="63D22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0002F5A9">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pH</w:t>
            </w:r>
          </w:p>
        </w:tc>
        <w:tc>
          <w:tcPr>
            <w:tcW w:w="8234" w:type="dxa"/>
            <w:tcBorders>
              <w:top w:val="nil"/>
              <w:left w:val="nil"/>
              <w:bottom w:val="nil"/>
              <w:right w:val="nil"/>
            </w:tcBorders>
            <w:shd w:val="clear"/>
            <w:vAlign w:val="top"/>
          </w:tcPr>
          <w:p w14:paraId="6CF84B8F">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r w14:paraId="3B327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22BFD059">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Kinematic viscosity</w:t>
            </w:r>
          </w:p>
        </w:tc>
        <w:tc>
          <w:tcPr>
            <w:tcW w:w="8234" w:type="dxa"/>
            <w:tcBorders>
              <w:top w:val="nil"/>
              <w:left w:val="nil"/>
              <w:bottom w:val="nil"/>
              <w:right w:val="nil"/>
            </w:tcBorders>
            <w:shd w:val="clear"/>
            <w:vAlign w:val="top"/>
          </w:tcPr>
          <w:p w14:paraId="5CB57230">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r w14:paraId="101F9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538882E8">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Solubility</w:t>
            </w:r>
          </w:p>
        </w:tc>
        <w:tc>
          <w:tcPr>
            <w:tcW w:w="8234" w:type="dxa"/>
            <w:tcBorders>
              <w:top w:val="nil"/>
              <w:left w:val="nil"/>
              <w:bottom w:val="nil"/>
              <w:right w:val="nil"/>
            </w:tcBorders>
            <w:shd w:val="clear"/>
            <w:vAlign w:val="top"/>
          </w:tcPr>
          <w:p w14:paraId="3A974599">
            <w:pPr>
              <w:pStyle w:val="6"/>
              <w:keepNext w:val="0"/>
              <w:keepLines w:val="0"/>
              <w:widowControl/>
              <w:suppressLineNumbers w:val="0"/>
              <w:spacing w:before="0" w:beforeAutospacing="0" w:after="0" w:afterAutospacing="0"/>
              <w:ind w:left="0" w:right="0"/>
              <w:jc w:val="left"/>
              <w:rPr>
                <w:sz w:val="21"/>
                <w:szCs w:val="21"/>
              </w:rPr>
            </w:pPr>
            <w:r>
              <w:rPr>
                <w:sz w:val="21"/>
                <w:szCs w:val="21"/>
              </w:rPr>
              <w:t>In water, 957 mg/L at 25 deg C</w:t>
            </w:r>
          </w:p>
        </w:tc>
      </w:tr>
      <w:tr w14:paraId="24816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666B5125">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Partition coefficient n-octanol/water</w:t>
            </w:r>
          </w:p>
        </w:tc>
        <w:tc>
          <w:tcPr>
            <w:tcW w:w="8234" w:type="dxa"/>
            <w:tcBorders>
              <w:top w:val="nil"/>
              <w:left w:val="nil"/>
              <w:bottom w:val="nil"/>
              <w:right w:val="nil"/>
            </w:tcBorders>
            <w:shd w:val="clear"/>
            <w:vAlign w:val="top"/>
          </w:tcPr>
          <w:p w14:paraId="23EC6287">
            <w:pPr>
              <w:pStyle w:val="6"/>
              <w:keepNext w:val="0"/>
              <w:keepLines w:val="0"/>
              <w:widowControl/>
              <w:suppressLineNumbers w:val="0"/>
              <w:spacing w:before="0" w:beforeAutospacing="0" w:after="0" w:afterAutospacing="0"/>
              <w:ind w:left="0" w:right="0"/>
              <w:jc w:val="left"/>
              <w:rPr>
                <w:sz w:val="21"/>
                <w:szCs w:val="21"/>
              </w:rPr>
            </w:pPr>
            <w:r>
              <w:rPr>
                <w:sz w:val="21"/>
                <w:szCs w:val="21"/>
              </w:rPr>
              <w:t>log Kow = 2.25</w:t>
            </w:r>
          </w:p>
        </w:tc>
      </w:tr>
      <w:tr w14:paraId="13373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53FE1D98">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Vapour pressure</w:t>
            </w:r>
          </w:p>
        </w:tc>
        <w:tc>
          <w:tcPr>
            <w:tcW w:w="8234" w:type="dxa"/>
            <w:tcBorders>
              <w:top w:val="nil"/>
              <w:left w:val="nil"/>
              <w:bottom w:val="nil"/>
              <w:right w:val="nil"/>
            </w:tcBorders>
            <w:shd w:val="clear"/>
            <w:vAlign w:val="top"/>
          </w:tcPr>
          <w:p w14:paraId="71EF4A5A">
            <w:pPr>
              <w:pStyle w:val="6"/>
              <w:keepNext w:val="0"/>
              <w:keepLines w:val="0"/>
              <w:widowControl/>
              <w:suppressLineNumbers w:val="0"/>
              <w:spacing w:before="0" w:beforeAutospacing="0" w:after="0" w:afterAutospacing="0"/>
              <w:ind w:left="0" w:right="0"/>
              <w:jc w:val="left"/>
              <w:rPr>
                <w:sz w:val="21"/>
                <w:szCs w:val="21"/>
              </w:rPr>
            </w:pPr>
            <w:r>
              <w:rPr>
                <w:sz w:val="21"/>
                <w:szCs w:val="21"/>
              </w:rPr>
              <w:t>0.000188mmHg at 25°C</w:t>
            </w:r>
          </w:p>
        </w:tc>
      </w:tr>
      <w:tr w14:paraId="730C3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12B70060">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Density and/or relative density</w:t>
            </w:r>
          </w:p>
        </w:tc>
        <w:tc>
          <w:tcPr>
            <w:tcW w:w="8234" w:type="dxa"/>
            <w:tcBorders>
              <w:top w:val="nil"/>
              <w:left w:val="nil"/>
              <w:bottom w:val="nil"/>
              <w:right w:val="nil"/>
            </w:tcBorders>
            <w:shd w:val="clear"/>
            <w:vAlign w:val="top"/>
          </w:tcPr>
          <w:p w14:paraId="40DA0CDF">
            <w:pPr>
              <w:pStyle w:val="6"/>
              <w:keepNext w:val="0"/>
              <w:keepLines w:val="0"/>
              <w:widowControl/>
              <w:suppressLineNumbers w:val="0"/>
              <w:spacing w:before="0" w:beforeAutospacing="0" w:after="0" w:afterAutospacing="0"/>
              <w:ind w:left="0" w:right="0"/>
              <w:jc w:val="left"/>
              <w:rPr>
                <w:sz w:val="21"/>
                <w:szCs w:val="21"/>
              </w:rPr>
            </w:pPr>
            <w:r>
              <w:rPr>
                <w:sz w:val="21"/>
                <w:szCs w:val="21"/>
              </w:rPr>
              <w:t>1.366 g/cm3</w:t>
            </w:r>
          </w:p>
        </w:tc>
      </w:tr>
      <w:tr w14:paraId="4C15D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2097D824">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Relative vapour density</w:t>
            </w:r>
          </w:p>
        </w:tc>
        <w:tc>
          <w:tcPr>
            <w:tcW w:w="8234" w:type="dxa"/>
            <w:tcBorders>
              <w:top w:val="nil"/>
              <w:left w:val="nil"/>
              <w:bottom w:val="nil"/>
              <w:right w:val="nil"/>
            </w:tcBorders>
            <w:shd w:val="clear"/>
            <w:vAlign w:val="top"/>
          </w:tcPr>
          <w:p w14:paraId="1B0E8B26">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r w14:paraId="5F779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511" w:type="dxa"/>
            <w:tcBorders>
              <w:top w:val="nil"/>
              <w:left w:val="nil"/>
              <w:bottom w:val="nil"/>
              <w:right w:val="nil"/>
            </w:tcBorders>
            <w:shd w:val="clear"/>
            <w:vAlign w:val="top"/>
          </w:tcPr>
          <w:p w14:paraId="60295206">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Particle characteristics</w:t>
            </w:r>
          </w:p>
        </w:tc>
        <w:tc>
          <w:tcPr>
            <w:tcW w:w="8234" w:type="dxa"/>
            <w:tcBorders>
              <w:top w:val="nil"/>
              <w:left w:val="nil"/>
              <w:bottom w:val="nil"/>
              <w:right w:val="nil"/>
            </w:tcBorders>
            <w:shd w:val="clear"/>
            <w:vAlign w:val="top"/>
          </w:tcPr>
          <w:p w14:paraId="6EDB84F1">
            <w:pPr>
              <w:pStyle w:val="6"/>
              <w:keepNext w:val="0"/>
              <w:keepLines w:val="0"/>
              <w:widowControl/>
              <w:suppressLineNumbers w:val="0"/>
              <w:spacing w:before="0" w:beforeAutospacing="0" w:after="0" w:afterAutospacing="0"/>
              <w:ind w:left="0" w:right="0"/>
              <w:jc w:val="left"/>
              <w:rPr>
                <w:sz w:val="21"/>
                <w:szCs w:val="21"/>
              </w:rPr>
            </w:pPr>
            <w:r>
              <w:rPr>
                <w:sz w:val="21"/>
                <w:szCs w:val="21"/>
              </w:rPr>
              <w:t>no data available</w:t>
            </w:r>
          </w:p>
        </w:tc>
      </w:tr>
    </w:tbl>
    <w:p w14:paraId="1547D5FB">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10: Stability and reactivity</w:t>
      </w:r>
    </w:p>
    <w:p w14:paraId="767CF9A0">
      <w:pPr>
        <w:pStyle w:val="4"/>
        <w:keepNext w:val="0"/>
        <w:keepLines w:val="0"/>
        <w:widowControl/>
        <w:suppressLineNumbers w:val="0"/>
        <w:spacing w:before="150" w:beforeAutospacing="0" w:after="150" w:afterAutospacing="0"/>
        <w:ind w:left="0" w:right="0"/>
        <w:rPr>
          <w:b/>
          <w:bCs/>
          <w:sz w:val="27"/>
          <w:szCs w:val="27"/>
        </w:rPr>
      </w:pPr>
      <w:r>
        <w:rPr>
          <w:b/>
          <w:bCs/>
          <w:sz w:val="27"/>
          <w:szCs w:val="27"/>
        </w:rPr>
        <w:t>10.1Reactivity</w:t>
      </w:r>
    </w:p>
    <w:p w14:paraId="770BDCD3">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3DBF52F7">
      <w:pPr>
        <w:pStyle w:val="4"/>
        <w:keepNext w:val="0"/>
        <w:keepLines w:val="0"/>
        <w:widowControl/>
        <w:suppressLineNumbers w:val="0"/>
        <w:spacing w:before="150" w:beforeAutospacing="0" w:after="150" w:afterAutospacing="0"/>
        <w:ind w:left="0" w:right="0"/>
        <w:rPr>
          <w:b/>
          <w:bCs/>
          <w:sz w:val="27"/>
          <w:szCs w:val="27"/>
        </w:rPr>
      </w:pPr>
      <w:r>
        <w:rPr>
          <w:b/>
          <w:bCs/>
          <w:sz w:val="27"/>
          <w:szCs w:val="27"/>
        </w:rPr>
        <w:t>10.2Chemical stability</w:t>
      </w:r>
    </w:p>
    <w:p w14:paraId="5373EA1B">
      <w:pPr>
        <w:pStyle w:val="6"/>
        <w:keepNext w:val="0"/>
        <w:keepLines w:val="0"/>
        <w:widowControl/>
        <w:suppressLineNumbers w:val="0"/>
        <w:spacing w:before="0" w:beforeAutospacing="0" w:after="0" w:afterAutospacing="0"/>
        <w:ind w:left="0" w:right="0"/>
        <w:rPr>
          <w:sz w:val="21"/>
          <w:szCs w:val="21"/>
        </w:rPr>
      </w:pPr>
      <w:r>
        <w:rPr>
          <w:sz w:val="21"/>
          <w:szCs w:val="21"/>
        </w:rPr>
        <w:t>It is stable at elevated temperatures (54 deg C) and on exposure to metals, but degrades (30% loss in 24 hours) on exposure to sunlight.</w:t>
      </w:r>
    </w:p>
    <w:p w14:paraId="54FEE8A5">
      <w:pPr>
        <w:pStyle w:val="4"/>
        <w:keepNext w:val="0"/>
        <w:keepLines w:val="0"/>
        <w:widowControl/>
        <w:suppressLineNumbers w:val="0"/>
        <w:spacing w:before="150" w:beforeAutospacing="0" w:after="150" w:afterAutospacing="0"/>
        <w:ind w:left="0" w:right="0"/>
        <w:rPr>
          <w:b/>
          <w:bCs/>
          <w:sz w:val="27"/>
          <w:szCs w:val="27"/>
        </w:rPr>
      </w:pPr>
      <w:r>
        <w:rPr>
          <w:b/>
          <w:bCs/>
          <w:sz w:val="27"/>
          <w:szCs w:val="27"/>
        </w:rPr>
        <w:t>10.3Possibility of hazardous reactions</w:t>
      </w:r>
    </w:p>
    <w:p w14:paraId="6C4487C6">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0C69D39C">
      <w:pPr>
        <w:pStyle w:val="4"/>
        <w:keepNext w:val="0"/>
        <w:keepLines w:val="0"/>
        <w:widowControl/>
        <w:suppressLineNumbers w:val="0"/>
        <w:spacing w:before="150" w:beforeAutospacing="0" w:after="150" w:afterAutospacing="0"/>
        <w:ind w:left="0" w:right="0"/>
        <w:rPr>
          <w:b/>
          <w:bCs/>
          <w:sz w:val="27"/>
          <w:szCs w:val="27"/>
        </w:rPr>
      </w:pPr>
      <w:r>
        <w:rPr>
          <w:b/>
          <w:bCs/>
          <w:sz w:val="27"/>
          <w:szCs w:val="27"/>
        </w:rPr>
        <w:t>10.4Conditions to avoid</w:t>
      </w:r>
    </w:p>
    <w:p w14:paraId="023211FF">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72CD0834">
      <w:pPr>
        <w:pStyle w:val="4"/>
        <w:keepNext w:val="0"/>
        <w:keepLines w:val="0"/>
        <w:widowControl/>
        <w:suppressLineNumbers w:val="0"/>
        <w:spacing w:before="150" w:beforeAutospacing="0" w:after="150" w:afterAutospacing="0"/>
        <w:ind w:left="0" w:right="0"/>
        <w:rPr>
          <w:b/>
          <w:bCs/>
          <w:sz w:val="27"/>
          <w:szCs w:val="27"/>
        </w:rPr>
      </w:pPr>
      <w:r>
        <w:rPr>
          <w:b/>
          <w:bCs/>
          <w:sz w:val="27"/>
          <w:szCs w:val="27"/>
        </w:rPr>
        <w:t>10.5Incompatible materials</w:t>
      </w:r>
    </w:p>
    <w:p w14:paraId="5CFE7DE4">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6332C65C">
      <w:pPr>
        <w:pStyle w:val="4"/>
        <w:keepNext w:val="0"/>
        <w:keepLines w:val="0"/>
        <w:widowControl/>
        <w:suppressLineNumbers w:val="0"/>
        <w:spacing w:before="150" w:beforeAutospacing="0" w:after="150" w:afterAutospacing="0"/>
        <w:ind w:left="0" w:right="0"/>
        <w:rPr>
          <w:b/>
          <w:bCs/>
          <w:sz w:val="27"/>
          <w:szCs w:val="27"/>
        </w:rPr>
      </w:pPr>
      <w:r>
        <w:rPr>
          <w:b/>
          <w:bCs/>
          <w:sz w:val="27"/>
          <w:szCs w:val="27"/>
        </w:rPr>
        <w:t>10.6Hazardous decomposition products</w:t>
      </w:r>
    </w:p>
    <w:p w14:paraId="5A8E084F">
      <w:pPr>
        <w:pStyle w:val="6"/>
        <w:keepNext w:val="0"/>
        <w:keepLines w:val="0"/>
        <w:widowControl/>
        <w:suppressLineNumbers w:val="0"/>
        <w:spacing w:before="0" w:beforeAutospacing="0" w:after="0" w:afterAutospacing="0"/>
        <w:ind w:left="0" w:right="0"/>
        <w:rPr>
          <w:sz w:val="21"/>
          <w:szCs w:val="21"/>
        </w:rPr>
      </w:pPr>
      <w:r>
        <w:rPr>
          <w:sz w:val="21"/>
          <w:szCs w:val="21"/>
        </w:rPr>
        <w:t>When heated to decomposition it emits toxic fumes of /hydrogen chloride/.</w:t>
      </w:r>
    </w:p>
    <w:p w14:paraId="5953E485">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11: Toxicological information</w:t>
      </w:r>
    </w:p>
    <w:p w14:paraId="0BF21F34">
      <w:pPr>
        <w:pStyle w:val="5"/>
        <w:keepNext w:val="0"/>
        <w:keepLines w:val="0"/>
        <w:widowControl/>
        <w:suppressLineNumbers w:val="0"/>
        <w:spacing w:before="150" w:beforeAutospacing="0" w:after="150" w:afterAutospacing="0"/>
        <w:ind w:left="0" w:right="0"/>
        <w:rPr>
          <w:b/>
          <w:bCs/>
          <w:sz w:val="21"/>
          <w:szCs w:val="21"/>
        </w:rPr>
      </w:pPr>
      <w:r>
        <w:rPr>
          <w:b/>
          <w:bCs/>
          <w:sz w:val="21"/>
          <w:szCs w:val="21"/>
        </w:rPr>
        <w:t>Acute toxicity</w:t>
      </w:r>
    </w:p>
    <w:p w14:paraId="3E3DE057">
      <w:pPr>
        <w:keepNext w:val="0"/>
        <w:keepLines w:val="0"/>
        <w:widowControl/>
        <w:numPr>
          <w:ilvl w:val="0"/>
          <w:numId w:val="1"/>
        </w:numPr>
        <w:suppressLineNumbers w:val="0"/>
        <w:spacing w:before="0" w:beforeAutospacing="1" w:after="0" w:afterAutospacing="1"/>
        <w:ind w:left="720" w:hanging="360"/>
        <w:rPr>
          <w:sz w:val="21"/>
          <w:szCs w:val="21"/>
        </w:rPr>
      </w:pPr>
      <w:r>
        <w:rPr>
          <w:sz w:val="21"/>
          <w:szCs w:val="21"/>
          <w:bdr w:val="none" w:color="auto" w:sz="0" w:space="0"/>
        </w:rPr>
        <w:t>Oral: LD50 Rat oral 850 mg/kg</w:t>
      </w:r>
    </w:p>
    <w:p w14:paraId="3122C191">
      <w:pPr>
        <w:keepNext w:val="0"/>
        <w:keepLines w:val="0"/>
        <w:widowControl/>
        <w:numPr>
          <w:ilvl w:val="0"/>
          <w:numId w:val="1"/>
        </w:numPr>
        <w:suppressLineNumbers w:val="0"/>
        <w:spacing w:before="0" w:beforeAutospacing="1" w:after="0" w:afterAutospacing="1"/>
        <w:ind w:left="720" w:hanging="360"/>
        <w:rPr>
          <w:sz w:val="21"/>
          <w:szCs w:val="21"/>
        </w:rPr>
      </w:pPr>
      <w:r>
        <w:rPr>
          <w:sz w:val="21"/>
          <w:szCs w:val="21"/>
          <w:bdr w:val="none" w:color="auto" w:sz="0" w:space="0"/>
        </w:rPr>
        <w:t>Inhalation: no data available</w:t>
      </w:r>
    </w:p>
    <w:p w14:paraId="7C37D789">
      <w:pPr>
        <w:keepNext w:val="0"/>
        <w:keepLines w:val="0"/>
        <w:widowControl/>
        <w:numPr>
          <w:ilvl w:val="0"/>
          <w:numId w:val="1"/>
        </w:numPr>
        <w:suppressLineNumbers w:val="0"/>
        <w:spacing w:before="0" w:beforeAutospacing="1" w:after="0" w:afterAutospacing="1"/>
        <w:ind w:left="720" w:hanging="360"/>
        <w:rPr>
          <w:sz w:val="21"/>
          <w:szCs w:val="21"/>
        </w:rPr>
      </w:pPr>
      <w:r>
        <w:rPr>
          <w:sz w:val="21"/>
          <w:szCs w:val="21"/>
          <w:bdr w:val="none" w:color="auto" w:sz="0" w:space="0"/>
        </w:rPr>
        <w:t>Dermal: no data available</w:t>
      </w:r>
    </w:p>
    <w:p w14:paraId="6ED5E1C8">
      <w:pPr>
        <w:pStyle w:val="5"/>
        <w:keepNext w:val="0"/>
        <w:keepLines w:val="0"/>
        <w:widowControl/>
        <w:suppressLineNumbers w:val="0"/>
        <w:spacing w:before="150" w:beforeAutospacing="0" w:after="150" w:afterAutospacing="0"/>
        <w:ind w:left="0" w:right="0"/>
        <w:rPr>
          <w:b/>
          <w:bCs/>
          <w:sz w:val="21"/>
          <w:szCs w:val="21"/>
        </w:rPr>
      </w:pPr>
      <w:r>
        <w:rPr>
          <w:b/>
          <w:bCs/>
          <w:sz w:val="21"/>
          <w:szCs w:val="21"/>
        </w:rPr>
        <w:t>Skin corrosion/irritation</w:t>
      </w:r>
    </w:p>
    <w:p w14:paraId="24357A1D">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4B6B0109">
      <w:pPr>
        <w:pStyle w:val="5"/>
        <w:keepNext w:val="0"/>
        <w:keepLines w:val="0"/>
        <w:widowControl/>
        <w:suppressLineNumbers w:val="0"/>
        <w:spacing w:before="150" w:beforeAutospacing="0" w:after="150" w:afterAutospacing="0"/>
        <w:ind w:left="0" w:right="0"/>
        <w:rPr>
          <w:b/>
          <w:bCs/>
          <w:sz w:val="21"/>
          <w:szCs w:val="21"/>
        </w:rPr>
      </w:pPr>
      <w:r>
        <w:rPr>
          <w:b/>
          <w:bCs/>
          <w:sz w:val="21"/>
          <w:szCs w:val="21"/>
        </w:rPr>
        <w:t>Serious eye damage/irritation</w:t>
      </w:r>
    </w:p>
    <w:p w14:paraId="1BE18957">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5CB7249D">
      <w:pPr>
        <w:pStyle w:val="5"/>
        <w:keepNext w:val="0"/>
        <w:keepLines w:val="0"/>
        <w:widowControl/>
        <w:suppressLineNumbers w:val="0"/>
        <w:spacing w:before="150" w:beforeAutospacing="0" w:after="150" w:afterAutospacing="0"/>
        <w:ind w:left="0" w:right="0"/>
        <w:rPr>
          <w:b/>
          <w:bCs/>
          <w:sz w:val="21"/>
          <w:szCs w:val="21"/>
        </w:rPr>
      </w:pPr>
      <w:r>
        <w:rPr>
          <w:b/>
          <w:bCs/>
          <w:sz w:val="21"/>
          <w:szCs w:val="21"/>
        </w:rPr>
        <w:t>Respiratory or skin sensitization</w:t>
      </w:r>
    </w:p>
    <w:p w14:paraId="03486BA8">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5D1C98D8">
      <w:pPr>
        <w:pStyle w:val="5"/>
        <w:keepNext w:val="0"/>
        <w:keepLines w:val="0"/>
        <w:widowControl/>
        <w:suppressLineNumbers w:val="0"/>
        <w:spacing w:before="150" w:beforeAutospacing="0" w:after="150" w:afterAutospacing="0"/>
        <w:ind w:left="0" w:right="0"/>
        <w:rPr>
          <w:b/>
          <w:bCs/>
          <w:sz w:val="21"/>
          <w:szCs w:val="21"/>
        </w:rPr>
      </w:pPr>
      <w:r>
        <w:rPr>
          <w:b/>
          <w:bCs/>
          <w:sz w:val="21"/>
          <w:szCs w:val="21"/>
        </w:rPr>
        <w:t>Germ cell mutagenicity</w:t>
      </w:r>
    </w:p>
    <w:p w14:paraId="3962EC00">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5987349D">
      <w:pPr>
        <w:pStyle w:val="5"/>
        <w:keepNext w:val="0"/>
        <w:keepLines w:val="0"/>
        <w:widowControl/>
        <w:suppressLineNumbers w:val="0"/>
        <w:spacing w:before="150" w:beforeAutospacing="0" w:after="150" w:afterAutospacing="0"/>
        <w:ind w:left="0" w:right="0"/>
        <w:rPr>
          <w:b/>
          <w:bCs/>
          <w:sz w:val="21"/>
          <w:szCs w:val="21"/>
        </w:rPr>
      </w:pPr>
      <w:r>
        <w:rPr>
          <w:b/>
          <w:bCs/>
          <w:sz w:val="21"/>
          <w:szCs w:val="21"/>
        </w:rPr>
        <w:t>Carcinogenicity</w:t>
      </w:r>
    </w:p>
    <w:p w14:paraId="530381F6">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5B6769E7">
      <w:pPr>
        <w:pStyle w:val="5"/>
        <w:keepNext w:val="0"/>
        <w:keepLines w:val="0"/>
        <w:widowControl/>
        <w:suppressLineNumbers w:val="0"/>
        <w:spacing w:before="150" w:beforeAutospacing="0" w:after="150" w:afterAutospacing="0"/>
        <w:ind w:left="0" w:right="0"/>
        <w:rPr>
          <w:b/>
          <w:bCs/>
          <w:sz w:val="21"/>
          <w:szCs w:val="21"/>
        </w:rPr>
      </w:pPr>
      <w:r>
        <w:rPr>
          <w:b/>
          <w:bCs/>
          <w:sz w:val="21"/>
          <w:szCs w:val="21"/>
        </w:rPr>
        <w:t>Reproductive toxicity</w:t>
      </w:r>
    </w:p>
    <w:p w14:paraId="0F02627F">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6228D13D">
      <w:pPr>
        <w:pStyle w:val="5"/>
        <w:keepNext w:val="0"/>
        <w:keepLines w:val="0"/>
        <w:widowControl/>
        <w:suppressLineNumbers w:val="0"/>
        <w:spacing w:before="150" w:beforeAutospacing="0" w:after="150" w:afterAutospacing="0"/>
        <w:ind w:left="0" w:right="0"/>
        <w:rPr>
          <w:b/>
          <w:bCs/>
          <w:sz w:val="21"/>
          <w:szCs w:val="21"/>
        </w:rPr>
      </w:pPr>
      <w:r>
        <w:rPr>
          <w:b/>
          <w:bCs/>
          <w:sz w:val="21"/>
          <w:szCs w:val="21"/>
        </w:rPr>
        <w:t>STOT-single exposure</w:t>
      </w:r>
    </w:p>
    <w:p w14:paraId="23E60AB8">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37B965C2">
      <w:pPr>
        <w:pStyle w:val="5"/>
        <w:keepNext w:val="0"/>
        <w:keepLines w:val="0"/>
        <w:widowControl/>
        <w:suppressLineNumbers w:val="0"/>
        <w:spacing w:before="150" w:beforeAutospacing="0" w:after="150" w:afterAutospacing="0"/>
        <w:ind w:left="0" w:right="0"/>
        <w:rPr>
          <w:b/>
          <w:bCs/>
          <w:sz w:val="21"/>
          <w:szCs w:val="21"/>
        </w:rPr>
      </w:pPr>
      <w:r>
        <w:rPr>
          <w:b/>
          <w:bCs/>
          <w:sz w:val="21"/>
          <w:szCs w:val="21"/>
        </w:rPr>
        <w:t>STOT-repeated exposure</w:t>
      </w:r>
    </w:p>
    <w:p w14:paraId="163FBA77">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46B1088A">
      <w:pPr>
        <w:pStyle w:val="5"/>
        <w:keepNext w:val="0"/>
        <w:keepLines w:val="0"/>
        <w:widowControl/>
        <w:suppressLineNumbers w:val="0"/>
        <w:spacing w:before="150" w:beforeAutospacing="0" w:after="150" w:afterAutospacing="0"/>
        <w:ind w:left="0" w:right="0"/>
        <w:rPr>
          <w:b/>
          <w:bCs/>
          <w:sz w:val="21"/>
          <w:szCs w:val="21"/>
        </w:rPr>
      </w:pPr>
      <w:r>
        <w:rPr>
          <w:b/>
          <w:bCs/>
          <w:sz w:val="21"/>
          <w:szCs w:val="21"/>
        </w:rPr>
        <w:t>Aspiration hazard</w:t>
      </w:r>
    </w:p>
    <w:p w14:paraId="58E765A0">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3C2E0650">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12: Ecological information</w:t>
      </w:r>
    </w:p>
    <w:p w14:paraId="52209482">
      <w:pPr>
        <w:pStyle w:val="4"/>
        <w:keepNext w:val="0"/>
        <w:keepLines w:val="0"/>
        <w:widowControl/>
        <w:suppressLineNumbers w:val="0"/>
        <w:spacing w:before="150" w:beforeAutospacing="0" w:after="150" w:afterAutospacing="0"/>
        <w:ind w:left="0" w:right="0"/>
        <w:rPr>
          <w:b/>
          <w:bCs/>
          <w:sz w:val="27"/>
          <w:szCs w:val="27"/>
        </w:rPr>
      </w:pPr>
      <w:r>
        <w:rPr>
          <w:b/>
          <w:bCs/>
          <w:sz w:val="27"/>
          <w:szCs w:val="27"/>
        </w:rPr>
        <w:t>12.1Toxicity</w:t>
      </w:r>
    </w:p>
    <w:p w14:paraId="38A78A75">
      <w:pPr>
        <w:keepNext w:val="0"/>
        <w:keepLines w:val="0"/>
        <w:widowControl/>
        <w:numPr>
          <w:ilvl w:val="0"/>
          <w:numId w:val="2"/>
        </w:numPr>
        <w:suppressLineNumbers w:val="0"/>
        <w:spacing w:before="0" w:beforeAutospacing="1" w:after="0" w:afterAutospacing="1"/>
        <w:ind w:left="720" w:hanging="360"/>
        <w:rPr>
          <w:sz w:val="21"/>
          <w:szCs w:val="21"/>
        </w:rPr>
      </w:pPr>
      <w:r>
        <w:rPr>
          <w:sz w:val="21"/>
          <w:szCs w:val="21"/>
          <w:bdr w:val="none" w:color="auto" w:sz="0" w:space="0"/>
        </w:rPr>
        <w:t>Toxicity to fish: LC50 Lepomis macrochirus (Bluegill) &gt;180 ppm/96 hr; static /diethanolamine salt; 2% AI formulated product</w:t>
      </w:r>
    </w:p>
    <w:p w14:paraId="3B2EEBEF">
      <w:pPr>
        <w:keepNext w:val="0"/>
        <w:keepLines w:val="0"/>
        <w:widowControl/>
        <w:numPr>
          <w:ilvl w:val="0"/>
          <w:numId w:val="2"/>
        </w:numPr>
        <w:suppressLineNumbers w:val="0"/>
        <w:spacing w:before="0" w:beforeAutospacing="1" w:after="0" w:afterAutospacing="1"/>
        <w:ind w:left="720" w:hanging="360"/>
        <w:rPr>
          <w:sz w:val="21"/>
          <w:szCs w:val="21"/>
        </w:rPr>
      </w:pPr>
      <w:r>
        <w:rPr>
          <w:sz w:val="21"/>
          <w:szCs w:val="21"/>
          <w:bdr w:val="none" w:color="auto" w:sz="0" w:space="0"/>
        </w:rPr>
        <w:t>Toxicity to daphnia and other aquatic invertebrates: no data available</w:t>
      </w:r>
    </w:p>
    <w:p w14:paraId="7ED7DFE0">
      <w:pPr>
        <w:keepNext w:val="0"/>
        <w:keepLines w:val="0"/>
        <w:widowControl/>
        <w:numPr>
          <w:ilvl w:val="0"/>
          <w:numId w:val="2"/>
        </w:numPr>
        <w:suppressLineNumbers w:val="0"/>
        <w:spacing w:before="0" w:beforeAutospacing="1" w:after="0" w:afterAutospacing="1"/>
        <w:ind w:left="720" w:hanging="360"/>
        <w:rPr>
          <w:sz w:val="21"/>
          <w:szCs w:val="21"/>
        </w:rPr>
      </w:pPr>
      <w:r>
        <w:rPr>
          <w:sz w:val="21"/>
          <w:szCs w:val="21"/>
          <w:bdr w:val="none" w:color="auto" w:sz="0" w:space="0"/>
        </w:rPr>
        <w:t>Toxicity to algae: no data available</w:t>
      </w:r>
    </w:p>
    <w:p w14:paraId="75DE69A9">
      <w:pPr>
        <w:keepNext w:val="0"/>
        <w:keepLines w:val="0"/>
        <w:widowControl/>
        <w:numPr>
          <w:ilvl w:val="0"/>
          <w:numId w:val="2"/>
        </w:numPr>
        <w:suppressLineNumbers w:val="0"/>
        <w:spacing w:before="0" w:beforeAutospacing="1" w:after="0" w:afterAutospacing="1"/>
        <w:ind w:left="720" w:hanging="360"/>
        <w:rPr>
          <w:sz w:val="21"/>
          <w:szCs w:val="21"/>
        </w:rPr>
      </w:pPr>
      <w:r>
        <w:rPr>
          <w:sz w:val="21"/>
          <w:szCs w:val="21"/>
          <w:bdr w:val="none" w:color="auto" w:sz="0" w:space="0"/>
        </w:rPr>
        <w:t>Toxicity to microorganisms: no data available</w:t>
      </w:r>
    </w:p>
    <w:p w14:paraId="22E0006E">
      <w:pPr>
        <w:pStyle w:val="4"/>
        <w:keepNext w:val="0"/>
        <w:keepLines w:val="0"/>
        <w:widowControl/>
        <w:suppressLineNumbers w:val="0"/>
        <w:spacing w:before="150" w:beforeAutospacing="0" w:after="150" w:afterAutospacing="0"/>
        <w:ind w:left="0" w:right="0"/>
        <w:rPr>
          <w:b/>
          <w:bCs/>
          <w:sz w:val="27"/>
          <w:szCs w:val="27"/>
        </w:rPr>
      </w:pPr>
      <w:r>
        <w:rPr>
          <w:b/>
          <w:bCs/>
          <w:sz w:val="27"/>
          <w:szCs w:val="27"/>
        </w:rPr>
        <w:t>12.2Persistence and degradability</w:t>
      </w:r>
    </w:p>
    <w:p w14:paraId="105B524D">
      <w:pPr>
        <w:pStyle w:val="6"/>
        <w:keepNext w:val="0"/>
        <w:keepLines w:val="0"/>
        <w:widowControl/>
        <w:suppressLineNumbers w:val="0"/>
        <w:spacing w:before="0" w:beforeAutospacing="0" w:after="0" w:afterAutospacing="0"/>
        <w:ind w:left="0" w:right="0"/>
        <w:rPr>
          <w:sz w:val="21"/>
          <w:szCs w:val="21"/>
        </w:rPr>
      </w:pPr>
      <w:r>
        <w:rPr>
          <w:sz w:val="21"/>
          <w:szCs w:val="21"/>
        </w:rPr>
        <w:t>AEROBIC: The time required for 80% breakdown of 4-chlorophenoxyacetic acid in soil was 12.1 days in fresh soil and 2.5 days in adapted soil(1). The number of days for complete removal in Honeoye and Dunkirk soils was 94 and 11 days, respectively(2). 4-Chlorophenoxyacetic acid had a 31% theoretical biological oxygen demand in a 5 day test using an acclimated mixed microbial culture(3). A pilot plant sewage treatment plant provided 32-58% removal using an activated sludge inocula, residence time not provided(4). 4-Chlorophenoxyacetic acid degraded in mixed soil and sewage inocula(5).</w:t>
      </w:r>
    </w:p>
    <w:p w14:paraId="5A1289FF">
      <w:pPr>
        <w:pStyle w:val="4"/>
        <w:keepNext w:val="0"/>
        <w:keepLines w:val="0"/>
        <w:widowControl/>
        <w:suppressLineNumbers w:val="0"/>
        <w:spacing w:before="150" w:beforeAutospacing="0" w:after="150" w:afterAutospacing="0"/>
        <w:ind w:left="0" w:right="0"/>
        <w:rPr>
          <w:b/>
          <w:bCs/>
          <w:sz w:val="27"/>
          <w:szCs w:val="27"/>
        </w:rPr>
      </w:pPr>
      <w:r>
        <w:rPr>
          <w:b/>
          <w:bCs/>
          <w:sz w:val="27"/>
          <w:szCs w:val="27"/>
        </w:rPr>
        <w:t>12.3Bioaccumulative potential</w:t>
      </w:r>
    </w:p>
    <w:p w14:paraId="51B6B1A6">
      <w:pPr>
        <w:pStyle w:val="6"/>
        <w:keepNext w:val="0"/>
        <w:keepLines w:val="0"/>
        <w:widowControl/>
        <w:suppressLineNumbers w:val="0"/>
        <w:spacing w:before="0" w:beforeAutospacing="0" w:after="0" w:afterAutospacing="0"/>
        <w:ind w:left="0" w:right="0"/>
        <w:rPr>
          <w:sz w:val="21"/>
          <w:szCs w:val="21"/>
        </w:rPr>
      </w:pPr>
      <w:r>
        <w:rPr>
          <w:sz w:val="21"/>
          <w:szCs w:val="21"/>
        </w:rPr>
        <w:t>An estimated BCF of 3 was calculated for 4-chlorophenoxyacetic acid(SRC), using a log Kow of 2.25(1) and a regression-derived equation(2). According to a classification scheme(3), this BCF suggests the potential for bioconcentration in aquatic organisms is low(SRC).</w:t>
      </w:r>
    </w:p>
    <w:p w14:paraId="4BB5D728">
      <w:pPr>
        <w:pStyle w:val="4"/>
        <w:keepNext w:val="0"/>
        <w:keepLines w:val="0"/>
        <w:widowControl/>
        <w:suppressLineNumbers w:val="0"/>
        <w:spacing w:before="150" w:beforeAutospacing="0" w:after="150" w:afterAutospacing="0"/>
        <w:ind w:left="0" w:right="0"/>
        <w:rPr>
          <w:b/>
          <w:bCs/>
          <w:sz w:val="27"/>
          <w:szCs w:val="27"/>
        </w:rPr>
      </w:pPr>
      <w:r>
        <w:rPr>
          <w:b/>
          <w:bCs/>
          <w:sz w:val="27"/>
          <w:szCs w:val="27"/>
        </w:rPr>
        <w:t>12.4Mobility in soil</w:t>
      </w:r>
    </w:p>
    <w:p w14:paraId="64F5733A">
      <w:pPr>
        <w:pStyle w:val="6"/>
        <w:keepNext w:val="0"/>
        <w:keepLines w:val="0"/>
        <w:widowControl/>
        <w:suppressLineNumbers w:val="0"/>
        <w:spacing w:before="0" w:beforeAutospacing="0" w:after="0" w:afterAutospacing="0"/>
        <w:ind w:left="0" w:right="0"/>
        <w:rPr>
          <w:sz w:val="21"/>
          <w:szCs w:val="21"/>
        </w:rPr>
      </w:pPr>
      <w:r>
        <w:rPr>
          <w:sz w:val="21"/>
          <w:szCs w:val="21"/>
        </w:rPr>
        <w:t>The Rf value for 4-chlorophenoxyacetic acid ranged from 0.74 at pH 4.0 to 0.93 at pH 7 using a Rothansted silty clay loam(1). At pH 7.8-7.9, 4-chlorophenoxyacetic acid was found not to be significantly adsorbed to clay(2). Sorption of 4-chlorophenoxy acetic acid to clay is pH dependent and increases with decreasing ionization(3). Using a structure estimation method based on molecular connectivity indices(4), the Koc for 4-chlorophenoxy acetic acid can be estimated to be 18(SRC). According to a classification scheme(5), this estimated Koc value suggests that 4-chlorophenoxy acetic acid is expected to have very high mobility in soil(SRC). In addition, the pKa of 4-chlorophenoxy acetic acid is 3.56(6), indicating that this compound will primarily exist as an anion in the environment, and anions generally possess high mobility in soil(7).</w:t>
      </w:r>
    </w:p>
    <w:p w14:paraId="5F623B58">
      <w:pPr>
        <w:pStyle w:val="4"/>
        <w:keepNext w:val="0"/>
        <w:keepLines w:val="0"/>
        <w:widowControl/>
        <w:suppressLineNumbers w:val="0"/>
        <w:spacing w:before="150" w:beforeAutospacing="0" w:after="150" w:afterAutospacing="0"/>
        <w:ind w:left="0" w:right="0"/>
        <w:rPr>
          <w:b/>
          <w:bCs/>
          <w:sz w:val="27"/>
          <w:szCs w:val="27"/>
        </w:rPr>
      </w:pPr>
      <w:r>
        <w:rPr>
          <w:b/>
          <w:bCs/>
          <w:sz w:val="27"/>
          <w:szCs w:val="27"/>
        </w:rPr>
        <w:t>12.5Other adverse effects</w:t>
      </w:r>
    </w:p>
    <w:p w14:paraId="1EB93B5D">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54877800">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13: Disposal considerations</w:t>
      </w:r>
    </w:p>
    <w:p w14:paraId="7BE2509F">
      <w:pPr>
        <w:pStyle w:val="4"/>
        <w:keepNext w:val="0"/>
        <w:keepLines w:val="0"/>
        <w:widowControl/>
        <w:suppressLineNumbers w:val="0"/>
        <w:spacing w:before="150" w:beforeAutospacing="0" w:after="150" w:afterAutospacing="0"/>
        <w:ind w:left="0" w:right="0"/>
        <w:rPr>
          <w:b/>
          <w:bCs/>
          <w:sz w:val="27"/>
          <w:szCs w:val="27"/>
        </w:rPr>
      </w:pPr>
      <w:r>
        <w:rPr>
          <w:b/>
          <w:bCs/>
          <w:sz w:val="27"/>
          <w:szCs w:val="27"/>
        </w:rPr>
        <w:t>13.1Disposal methods</w:t>
      </w:r>
    </w:p>
    <w:p w14:paraId="23C4707C">
      <w:pPr>
        <w:pStyle w:val="5"/>
        <w:keepNext w:val="0"/>
        <w:keepLines w:val="0"/>
        <w:widowControl/>
        <w:suppressLineNumbers w:val="0"/>
        <w:spacing w:before="150" w:beforeAutospacing="0" w:after="150" w:afterAutospacing="0"/>
        <w:ind w:left="0" w:right="0"/>
        <w:rPr>
          <w:b/>
          <w:bCs/>
          <w:sz w:val="21"/>
          <w:szCs w:val="21"/>
        </w:rPr>
      </w:pPr>
      <w:r>
        <w:rPr>
          <w:b/>
          <w:bCs/>
          <w:sz w:val="21"/>
          <w:szCs w:val="21"/>
        </w:rPr>
        <w:t>Product</w:t>
      </w:r>
    </w:p>
    <w:p w14:paraId="45E6249D">
      <w:pPr>
        <w:pStyle w:val="6"/>
        <w:keepNext w:val="0"/>
        <w:keepLines w:val="0"/>
        <w:widowControl/>
        <w:suppressLineNumbers w:val="0"/>
        <w:spacing w:before="0" w:beforeAutospacing="0" w:after="0" w:afterAutospacing="0"/>
        <w:ind w:left="0" w:right="0"/>
        <w:rPr>
          <w:sz w:val="21"/>
          <w:szCs w:val="21"/>
        </w:rPr>
      </w:pPr>
      <w:r>
        <w:rPr>
          <w:sz w:val="21"/>
          <w:szCs w:val="21"/>
        </w:rPr>
        <w:t>The material can be disposed of by removal to a licensed chemical destruction plant or by controlled incineration with flue gas scrubbing. Do not contaminate water, foodstuffs, feed or seed by storage or disposal. Do not discharge to sewer systems.</w:t>
      </w:r>
    </w:p>
    <w:p w14:paraId="587312C1">
      <w:pPr>
        <w:pStyle w:val="5"/>
        <w:keepNext w:val="0"/>
        <w:keepLines w:val="0"/>
        <w:widowControl/>
        <w:suppressLineNumbers w:val="0"/>
        <w:spacing w:before="150" w:beforeAutospacing="0" w:after="150" w:afterAutospacing="0"/>
        <w:ind w:left="0" w:right="0"/>
        <w:rPr>
          <w:b/>
          <w:bCs/>
          <w:sz w:val="21"/>
          <w:szCs w:val="21"/>
        </w:rPr>
      </w:pPr>
      <w:r>
        <w:rPr>
          <w:b/>
          <w:bCs/>
          <w:sz w:val="21"/>
          <w:szCs w:val="21"/>
        </w:rPr>
        <w:t>Contaminated packaging</w:t>
      </w:r>
    </w:p>
    <w:p w14:paraId="5BE92832">
      <w:pPr>
        <w:pStyle w:val="6"/>
        <w:keepNext w:val="0"/>
        <w:keepLines w:val="0"/>
        <w:widowControl/>
        <w:suppressLineNumbers w:val="0"/>
        <w:spacing w:before="0" w:beforeAutospacing="0" w:after="0" w:afterAutospacing="0"/>
        <w:ind w:left="0" w:right="0"/>
        <w:rPr>
          <w:sz w:val="21"/>
          <w:szCs w:val="21"/>
        </w:rPr>
      </w:pPr>
      <w:r>
        <w:rPr>
          <w:sz w:val="21"/>
          <w:szCs w:val="21"/>
        </w:rPr>
        <w:t>Containers can be triply rinsed (or equivalent) and offered for recycling or reconditioning. Alternatively, the packaging can be punctured to make it unusable for other purposes and then be disposed of in a sanitary landfill. Controlled incineration with flue gas scrubbing is possible for combustible packaging materials.</w:t>
      </w:r>
    </w:p>
    <w:p w14:paraId="3F47802A">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14: Transport information</w:t>
      </w:r>
    </w:p>
    <w:p w14:paraId="560D10EA">
      <w:pPr>
        <w:pStyle w:val="4"/>
        <w:keepNext w:val="0"/>
        <w:keepLines w:val="0"/>
        <w:widowControl/>
        <w:suppressLineNumbers w:val="0"/>
        <w:spacing w:before="150" w:beforeAutospacing="0" w:after="150" w:afterAutospacing="0"/>
        <w:ind w:left="0" w:right="0"/>
        <w:rPr>
          <w:b/>
          <w:bCs/>
          <w:sz w:val="27"/>
          <w:szCs w:val="27"/>
        </w:rPr>
      </w:pPr>
      <w:r>
        <w:rPr>
          <w:b/>
          <w:bCs/>
          <w:sz w:val="27"/>
          <w:szCs w:val="27"/>
        </w:rPr>
        <w:t>14.1UN Number</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045"/>
        <w:gridCol w:w="3880"/>
        <w:gridCol w:w="3880"/>
      </w:tblGrid>
      <w:tr w14:paraId="06FC8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nil"/>
              <w:left w:val="nil"/>
              <w:bottom w:val="nil"/>
              <w:right w:val="nil"/>
            </w:tcBorders>
            <w:shd w:val="clear"/>
            <w:vAlign w:val="top"/>
          </w:tcPr>
          <w:p w14:paraId="0F59C8CE">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ADR/RID: Not dangerous goods. (For reference only, please check.)</w:t>
            </w:r>
          </w:p>
        </w:tc>
        <w:tc>
          <w:tcPr>
            <w:tcW w:w="0" w:type="auto"/>
            <w:tcBorders>
              <w:top w:val="nil"/>
              <w:left w:val="nil"/>
              <w:bottom w:val="nil"/>
              <w:right w:val="nil"/>
            </w:tcBorders>
            <w:shd w:val="clear"/>
            <w:vAlign w:val="top"/>
          </w:tcPr>
          <w:p w14:paraId="137709F8">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IMDG: Not dangerous goods. (For reference only, please check.)</w:t>
            </w:r>
          </w:p>
        </w:tc>
        <w:tc>
          <w:tcPr>
            <w:tcW w:w="0" w:type="auto"/>
            <w:tcBorders>
              <w:top w:val="nil"/>
              <w:left w:val="nil"/>
              <w:bottom w:val="nil"/>
              <w:right w:val="nil"/>
            </w:tcBorders>
            <w:shd w:val="clear"/>
            <w:vAlign w:val="top"/>
          </w:tcPr>
          <w:p w14:paraId="42B3C22B">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IATA: Not dangerous goods. (For reference only, please check.)</w:t>
            </w:r>
          </w:p>
        </w:tc>
      </w:tr>
    </w:tbl>
    <w:p w14:paraId="4F8210FA">
      <w:pPr>
        <w:pStyle w:val="4"/>
        <w:keepNext w:val="0"/>
        <w:keepLines w:val="0"/>
        <w:widowControl/>
        <w:suppressLineNumbers w:val="0"/>
        <w:spacing w:before="150" w:beforeAutospacing="0" w:after="150" w:afterAutospacing="0"/>
        <w:ind w:left="0" w:right="0"/>
        <w:rPr>
          <w:b/>
          <w:bCs/>
          <w:sz w:val="27"/>
          <w:szCs w:val="27"/>
        </w:rPr>
      </w:pPr>
      <w:r>
        <w:rPr>
          <w:b/>
          <w:bCs/>
          <w:sz w:val="27"/>
          <w:szCs w:val="27"/>
        </w:rPr>
        <w:t>14.2UN Proper Shipping Name</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045"/>
        <w:gridCol w:w="3880"/>
        <w:gridCol w:w="3880"/>
      </w:tblGrid>
      <w:tr w14:paraId="2CD08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nil"/>
              <w:left w:val="nil"/>
              <w:bottom w:val="nil"/>
              <w:right w:val="nil"/>
            </w:tcBorders>
            <w:shd w:val="clear"/>
            <w:vAlign w:val="top"/>
          </w:tcPr>
          <w:p w14:paraId="1BBB3072">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ADR/RID: Not dangerous goods. (For reference only, please check.)</w:t>
            </w:r>
          </w:p>
        </w:tc>
        <w:tc>
          <w:tcPr>
            <w:tcW w:w="0" w:type="auto"/>
            <w:tcBorders>
              <w:top w:val="nil"/>
              <w:left w:val="nil"/>
              <w:bottom w:val="nil"/>
              <w:right w:val="nil"/>
            </w:tcBorders>
            <w:shd w:val="clear"/>
            <w:vAlign w:val="top"/>
          </w:tcPr>
          <w:p w14:paraId="2D12C5C1">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IMDG: Not dangerous goods. (For reference only, please check.)</w:t>
            </w:r>
          </w:p>
        </w:tc>
        <w:tc>
          <w:tcPr>
            <w:tcW w:w="0" w:type="auto"/>
            <w:tcBorders>
              <w:top w:val="nil"/>
              <w:left w:val="nil"/>
              <w:bottom w:val="nil"/>
              <w:right w:val="nil"/>
            </w:tcBorders>
            <w:shd w:val="clear"/>
            <w:vAlign w:val="top"/>
          </w:tcPr>
          <w:p w14:paraId="0083274F">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IATA: Not dangerous goods. (For reference only, please check.)</w:t>
            </w:r>
          </w:p>
        </w:tc>
      </w:tr>
    </w:tbl>
    <w:p w14:paraId="6F9DA626">
      <w:pPr>
        <w:pStyle w:val="4"/>
        <w:keepNext w:val="0"/>
        <w:keepLines w:val="0"/>
        <w:widowControl/>
        <w:suppressLineNumbers w:val="0"/>
        <w:spacing w:before="150" w:beforeAutospacing="0" w:after="150" w:afterAutospacing="0"/>
        <w:ind w:left="0" w:right="0"/>
        <w:rPr>
          <w:b/>
          <w:bCs/>
          <w:sz w:val="27"/>
          <w:szCs w:val="27"/>
        </w:rPr>
      </w:pPr>
      <w:r>
        <w:rPr>
          <w:b/>
          <w:bCs/>
          <w:sz w:val="27"/>
          <w:szCs w:val="27"/>
        </w:rPr>
        <w:t>14.3Transport hazard class(es)</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045"/>
        <w:gridCol w:w="3880"/>
        <w:gridCol w:w="3880"/>
      </w:tblGrid>
      <w:tr w14:paraId="0398B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nil"/>
              <w:left w:val="nil"/>
              <w:bottom w:val="nil"/>
              <w:right w:val="nil"/>
            </w:tcBorders>
            <w:shd w:val="clear"/>
            <w:vAlign w:val="top"/>
          </w:tcPr>
          <w:p w14:paraId="5C734415">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ADR/RID: Not dangerous goods. (For reference only, please check.)</w:t>
            </w:r>
          </w:p>
        </w:tc>
        <w:tc>
          <w:tcPr>
            <w:tcW w:w="0" w:type="auto"/>
            <w:tcBorders>
              <w:top w:val="nil"/>
              <w:left w:val="nil"/>
              <w:bottom w:val="nil"/>
              <w:right w:val="nil"/>
            </w:tcBorders>
            <w:shd w:val="clear"/>
            <w:vAlign w:val="top"/>
          </w:tcPr>
          <w:p w14:paraId="78DA8DE9">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IMDG: Not dangerous goods. (For reference only, please check.)</w:t>
            </w:r>
          </w:p>
        </w:tc>
        <w:tc>
          <w:tcPr>
            <w:tcW w:w="0" w:type="auto"/>
            <w:tcBorders>
              <w:top w:val="nil"/>
              <w:left w:val="nil"/>
              <w:bottom w:val="nil"/>
              <w:right w:val="nil"/>
            </w:tcBorders>
            <w:shd w:val="clear"/>
            <w:vAlign w:val="top"/>
          </w:tcPr>
          <w:p w14:paraId="694EB380">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IATA: Not dangerous goods. (For reference only, please check.)</w:t>
            </w:r>
          </w:p>
        </w:tc>
      </w:tr>
    </w:tbl>
    <w:p w14:paraId="3095395D">
      <w:pPr>
        <w:pStyle w:val="4"/>
        <w:keepNext w:val="0"/>
        <w:keepLines w:val="0"/>
        <w:widowControl/>
        <w:suppressLineNumbers w:val="0"/>
        <w:spacing w:before="150" w:beforeAutospacing="0" w:after="150" w:afterAutospacing="0"/>
        <w:ind w:left="0" w:right="0"/>
        <w:rPr>
          <w:b/>
          <w:bCs/>
          <w:sz w:val="27"/>
          <w:szCs w:val="27"/>
        </w:rPr>
      </w:pPr>
      <w:r>
        <w:rPr>
          <w:b/>
          <w:bCs/>
          <w:sz w:val="27"/>
          <w:szCs w:val="27"/>
        </w:rPr>
        <w:t>14.4Packing group, if applicable</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045"/>
        <w:gridCol w:w="3880"/>
        <w:gridCol w:w="3880"/>
      </w:tblGrid>
      <w:tr w14:paraId="0374A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nil"/>
              <w:left w:val="nil"/>
              <w:bottom w:val="nil"/>
              <w:right w:val="nil"/>
            </w:tcBorders>
            <w:shd w:val="clear"/>
            <w:vAlign w:val="top"/>
          </w:tcPr>
          <w:p w14:paraId="1272FB5F">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ADR/RID: Not dangerous goods. (For reference only, please check.)</w:t>
            </w:r>
          </w:p>
        </w:tc>
        <w:tc>
          <w:tcPr>
            <w:tcW w:w="0" w:type="auto"/>
            <w:tcBorders>
              <w:top w:val="nil"/>
              <w:left w:val="nil"/>
              <w:bottom w:val="nil"/>
              <w:right w:val="nil"/>
            </w:tcBorders>
            <w:shd w:val="clear"/>
            <w:vAlign w:val="top"/>
          </w:tcPr>
          <w:p w14:paraId="76606A69">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IMDG: Not dangerous goods. (For reference only, please check.)</w:t>
            </w:r>
          </w:p>
        </w:tc>
        <w:tc>
          <w:tcPr>
            <w:tcW w:w="0" w:type="auto"/>
            <w:tcBorders>
              <w:top w:val="nil"/>
              <w:left w:val="nil"/>
              <w:bottom w:val="nil"/>
              <w:right w:val="nil"/>
            </w:tcBorders>
            <w:shd w:val="clear"/>
            <w:vAlign w:val="top"/>
          </w:tcPr>
          <w:p w14:paraId="04D744D6">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IATA: Not dangerous goods. (For reference only, please check.)</w:t>
            </w:r>
          </w:p>
        </w:tc>
      </w:tr>
    </w:tbl>
    <w:p w14:paraId="743A7541">
      <w:pPr>
        <w:pStyle w:val="4"/>
        <w:keepNext w:val="0"/>
        <w:keepLines w:val="0"/>
        <w:widowControl/>
        <w:suppressLineNumbers w:val="0"/>
        <w:spacing w:before="150" w:beforeAutospacing="0" w:after="150" w:afterAutospacing="0"/>
        <w:ind w:left="0" w:right="0"/>
        <w:rPr>
          <w:b/>
          <w:bCs/>
          <w:sz w:val="27"/>
          <w:szCs w:val="27"/>
        </w:rPr>
      </w:pPr>
      <w:r>
        <w:rPr>
          <w:b/>
          <w:bCs/>
          <w:sz w:val="27"/>
          <w:szCs w:val="27"/>
        </w:rPr>
        <w:t>14.5Environmental hazards</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783"/>
        <w:gridCol w:w="3511"/>
        <w:gridCol w:w="3511"/>
      </w:tblGrid>
      <w:tr w14:paraId="096F9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nil"/>
              <w:left w:val="nil"/>
              <w:bottom w:val="nil"/>
              <w:right w:val="nil"/>
            </w:tcBorders>
            <w:shd w:val="clear"/>
            <w:vAlign w:val="top"/>
          </w:tcPr>
          <w:p w14:paraId="40652EBD">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ADR/RID: No</w:t>
            </w:r>
          </w:p>
        </w:tc>
        <w:tc>
          <w:tcPr>
            <w:tcW w:w="0" w:type="auto"/>
            <w:tcBorders>
              <w:top w:val="nil"/>
              <w:left w:val="nil"/>
              <w:bottom w:val="nil"/>
              <w:right w:val="nil"/>
            </w:tcBorders>
            <w:shd w:val="clear"/>
            <w:vAlign w:val="top"/>
          </w:tcPr>
          <w:p w14:paraId="216C6415">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IMDG: No</w:t>
            </w:r>
          </w:p>
        </w:tc>
        <w:tc>
          <w:tcPr>
            <w:tcW w:w="0" w:type="auto"/>
            <w:tcBorders>
              <w:top w:val="nil"/>
              <w:left w:val="nil"/>
              <w:bottom w:val="nil"/>
              <w:right w:val="nil"/>
            </w:tcBorders>
            <w:shd w:val="clear"/>
            <w:vAlign w:val="top"/>
          </w:tcPr>
          <w:p w14:paraId="18047CC5">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IATA: No</w:t>
            </w:r>
          </w:p>
        </w:tc>
      </w:tr>
    </w:tbl>
    <w:p w14:paraId="1B94FF3C">
      <w:pPr>
        <w:pStyle w:val="4"/>
        <w:keepNext w:val="0"/>
        <w:keepLines w:val="0"/>
        <w:widowControl/>
        <w:suppressLineNumbers w:val="0"/>
        <w:spacing w:before="150" w:beforeAutospacing="0" w:after="150" w:afterAutospacing="0"/>
        <w:ind w:left="0" w:right="0"/>
        <w:rPr>
          <w:b/>
          <w:bCs/>
          <w:sz w:val="27"/>
          <w:szCs w:val="27"/>
        </w:rPr>
      </w:pPr>
      <w:r>
        <w:rPr>
          <w:b/>
          <w:bCs/>
          <w:sz w:val="27"/>
          <w:szCs w:val="27"/>
        </w:rPr>
        <w:t>14.6Special precautions for user</w:t>
      </w:r>
    </w:p>
    <w:p w14:paraId="3798348A">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08AA8753">
      <w:pPr>
        <w:pStyle w:val="4"/>
        <w:keepNext w:val="0"/>
        <w:keepLines w:val="0"/>
        <w:widowControl/>
        <w:suppressLineNumbers w:val="0"/>
        <w:spacing w:before="150" w:beforeAutospacing="0" w:after="150" w:afterAutospacing="0"/>
        <w:ind w:left="0" w:right="0"/>
        <w:rPr>
          <w:b/>
          <w:bCs/>
          <w:sz w:val="27"/>
          <w:szCs w:val="27"/>
        </w:rPr>
      </w:pPr>
      <w:r>
        <w:rPr>
          <w:b/>
          <w:bCs/>
          <w:sz w:val="27"/>
          <w:szCs w:val="27"/>
        </w:rPr>
        <w:t>14.7Transport in bulk according to IMO instruments</w:t>
      </w:r>
    </w:p>
    <w:p w14:paraId="182F6733">
      <w:pPr>
        <w:pStyle w:val="6"/>
        <w:keepNext w:val="0"/>
        <w:keepLines w:val="0"/>
        <w:widowControl/>
        <w:suppressLineNumbers w:val="0"/>
        <w:spacing w:before="0" w:beforeAutospacing="0" w:after="0" w:afterAutospacing="0"/>
        <w:ind w:left="0" w:right="0"/>
        <w:rPr>
          <w:sz w:val="21"/>
          <w:szCs w:val="21"/>
        </w:rPr>
      </w:pPr>
      <w:r>
        <w:rPr>
          <w:sz w:val="21"/>
          <w:szCs w:val="21"/>
        </w:rPr>
        <w:t>no data available</w:t>
      </w:r>
    </w:p>
    <w:p w14:paraId="00BCDA11">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15: Regulatory information</w:t>
      </w:r>
    </w:p>
    <w:p w14:paraId="7771F9B3">
      <w:pPr>
        <w:pStyle w:val="4"/>
        <w:keepNext w:val="0"/>
        <w:keepLines w:val="0"/>
        <w:widowControl/>
        <w:suppressLineNumbers w:val="0"/>
        <w:spacing w:before="150" w:beforeAutospacing="0" w:after="150" w:afterAutospacing="0"/>
        <w:ind w:left="0" w:right="0"/>
        <w:rPr>
          <w:b/>
          <w:bCs/>
          <w:sz w:val="27"/>
          <w:szCs w:val="27"/>
        </w:rPr>
      </w:pPr>
      <w:r>
        <w:rPr>
          <w:b/>
          <w:bCs/>
          <w:sz w:val="27"/>
          <w:szCs w:val="27"/>
        </w:rPr>
        <w:t>15.1Safety, health and environmental regulations specific for the product in question</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802"/>
        <w:gridCol w:w="5334"/>
        <w:gridCol w:w="2169"/>
        <w:gridCol w:w="1500"/>
      </w:tblGrid>
      <w:tr w14:paraId="2B290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vAlign w:val="center"/>
          </w:tcPr>
          <w:p w14:paraId="613737D6">
            <w:pPr>
              <w:keepNext w:val="0"/>
              <w:keepLines w:val="0"/>
              <w:widowControl/>
              <w:suppressLineNumbers w:val="0"/>
              <w:jc w:val="center"/>
              <w:rPr>
                <w:b/>
                <w:bCs/>
                <w:sz w:val="21"/>
                <w:szCs w:val="21"/>
              </w:rPr>
            </w:pPr>
            <w:r>
              <w:rPr>
                <w:rFonts w:ascii="宋体" w:hAnsi="宋体" w:eastAsia="宋体" w:cs="宋体"/>
                <w:b/>
                <w:bCs/>
                <w:kern w:val="0"/>
                <w:sz w:val="21"/>
                <w:szCs w:val="21"/>
                <w:bdr w:val="none" w:color="auto" w:sz="0" w:space="0"/>
                <w:lang w:val="en-US" w:eastAsia="zh-CN" w:bidi="ar"/>
              </w:rPr>
              <w:t>Chemical name</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6FFB9D34">
            <w:pPr>
              <w:keepNext w:val="0"/>
              <w:keepLines w:val="0"/>
              <w:widowControl/>
              <w:suppressLineNumbers w:val="0"/>
              <w:jc w:val="center"/>
              <w:rPr>
                <w:b/>
                <w:bCs/>
                <w:sz w:val="21"/>
                <w:szCs w:val="21"/>
              </w:rPr>
            </w:pPr>
            <w:r>
              <w:rPr>
                <w:rFonts w:ascii="宋体" w:hAnsi="宋体" w:eastAsia="宋体" w:cs="宋体"/>
                <w:b/>
                <w:bCs/>
                <w:kern w:val="0"/>
                <w:sz w:val="21"/>
                <w:szCs w:val="21"/>
                <w:bdr w:val="none" w:color="auto" w:sz="0" w:space="0"/>
                <w:lang w:val="en-US" w:eastAsia="zh-CN" w:bidi="ar"/>
              </w:rPr>
              <w:t>Common names and synonyms</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67A79D82">
            <w:pPr>
              <w:keepNext w:val="0"/>
              <w:keepLines w:val="0"/>
              <w:widowControl/>
              <w:suppressLineNumbers w:val="0"/>
              <w:jc w:val="center"/>
              <w:rPr>
                <w:b/>
                <w:bCs/>
                <w:sz w:val="21"/>
                <w:szCs w:val="21"/>
              </w:rPr>
            </w:pPr>
            <w:r>
              <w:rPr>
                <w:rFonts w:ascii="宋体" w:hAnsi="宋体" w:eastAsia="宋体" w:cs="宋体"/>
                <w:b/>
                <w:bCs/>
                <w:kern w:val="0"/>
                <w:sz w:val="21"/>
                <w:szCs w:val="21"/>
                <w:bdr w:val="none" w:color="auto" w:sz="0" w:space="0"/>
                <w:lang w:val="en-US" w:eastAsia="zh-CN" w:bidi="ar"/>
              </w:rPr>
              <w:t>CAS number</w:t>
            </w:r>
          </w:p>
        </w:tc>
        <w:tc>
          <w:tcPr>
            <w:tcW w:w="1500" w:type="dxa"/>
            <w:tcBorders>
              <w:top w:val="single" w:color="000000" w:sz="6" w:space="0"/>
              <w:left w:val="single" w:color="000000" w:sz="6" w:space="0"/>
              <w:bottom w:val="single" w:color="000000" w:sz="6" w:space="0"/>
              <w:right w:val="single" w:color="000000" w:sz="6" w:space="0"/>
            </w:tcBorders>
            <w:shd w:val="clear"/>
            <w:vAlign w:val="center"/>
          </w:tcPr>
          <w:p w14:paraId="11C11A5C">
            <w:pPr>
              <w:keepNext w:val="0"/>
              <w:keepLines w:val="0"/>
              <w:widowControl/>
              <w:suppressLineNumbers w:val="0"/>
              <w:jc w:val="center"/>
              <w:rPr>
                <w:b/>
                <w:bCs/>
                <w:sz w:val="21"/>
                <w:szCs w:val="21"/>
              </w:rPr>
            </w:pPr>
            <w:r>
              <w:rPr>
                <w:rFonts w:ascii="宋体" w:hAnsi="宋体" w:eastAsia="宋体" w:cs="宋体"/>
                <w:b/>
                <w:bCs/>
                <w:kern w:val="0"/>
                <w:sz w:val="21"/>
                <w:szCs w:val="21"/>
                <w:bdr w:val="none" w:color="auto" w:sz="0" w:space="0"/>
                <w:lang w:val="en-US" w:eastAsia="zh-CN" w:bidi="ar"/>
              </w:rPr>
              <w:t>EC number</w:t>
            </w:r>
          </w:p>
        </w:tc>
      </w:tr>
      <w:tr w14:paraId="3382C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vAlign w:val="center"/>
          </w:tcPr>
          <w:p w14:paraId="57F571FA">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4-CPA</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04856732">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4-CPA</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1912298E">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122-88-3</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0EFE685B">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204-581-3</w:t>
            </w:r>
          </w:p>
        </w:tc>
      </w:tr>
      <w:tr w14:paraId="15E5D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shd w:val="clear"/>
            <w:vAlign w:val="center"/>
          </w:tcPr>
          <w:p w14:paraId="1EDA5A8A">
            <w:pPr>
              <w:keepNext w:val="0"/>
              <w:keepLines w:val="0"/>
              <w:widowControl/>
              <w:suppressLineNumbers w:val="0"/>
              <w:jc w:val="left"/>
              <w:rPr>
                <w:b/>
                <w:bCs/>
                <w:sz w:val="21"/>
                <w:szCs w:val="21"/>
              </w:rPr>
            </w:pPr>
            <w:r>
              <w:rPr>
                <w:rFonts w:ascii="宋体" w:hAnsi="宋体" w:eastAsia="宋体" w:cs="宋体"/>
                <w:b/>
                <w:bCs/>
                <w:kern w:val="0"/>
                <w:sz w:val="21"/>
                <w:szCs w:val="21"/>
                <w:bdr w:val="none" w:color="auto" w:sz="0" w:space="0"/>
                <w:lang w:val="en-US" w:eastAsia="zh-CN" w:bidi="ar"/>
              </w:rPr>
              <w:t>European Inventory of Existing Commercial Chemical Substances (EINECS)</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7B1A19BB">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Listed.</w:t>
            </w:r>
          </w:p>
        </w:tc>
      </w:tr>
      <w:tr w14:paraId="6F97E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shd w:val="clear"/>
            <w:vAlign w:val="center"/>
          </w:tcPr>
          <w:p w14:paraId="42FBA56A">
            <w:pPr>
              <w:keepNext w:val="0"/>
              <w:keepLines w:val="0"/>
              <w:widowControl/>
              <w:suppressLineNumbers w:val="0"/>
              <w:jc w:val="left"/>
              <w:rPr>
                <w:b/>
                <w:bCs/>
                <w:sz w:val="21"/>
                <w:szCs w:val="21"/>
              </w:rPr>
            </w:pPr>
            <w:r>
              <w:rPr>
                <w:rFonts w:ascii="宋体" w:hAnsi="宋体" w:eastAsia="宋体" w:cs="宋体"/>
                <w:b/>
                <w:bCs/>
                <w:kern w:val="0"/>
                <w:sz w:val="21"/>
                <w:szCs w:val="21"/>
                <w:bdr w:val="none" w:color="auto" w:sz="0" w:space="0"/>
                <w:lang w:val="en-US" w:eastAsia="zh-CN" w:bidi="ar"/>
              </w:rPr>
              <w:t>EC Inventory</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43F49CCF">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Listed.</w:t>
            </w:r>
          </w:p>
        </w:tc>
      </w:tr>
      <w:tr w14:paraId="2F0E0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shd w:val="clear"/>
            <w:vAlign w:val="center"/>
          </w:tcPr>
          <w:p w14:paraId="0FB34288">
            <w:pPr>
              <w:keepNext w:val="0"/>
              <w:keepLines w:val="0"/>
              <w:widowControl/>
              <w:suppressLineNumbers w:val="0"/>
              <w:jc w:val="left"/>
              <w:rPr>
                <w:b/>
                <w:bCs/>
                <w:sz w:val="21"/>
                <w:szCs w:val="21"/>
              </w:rPr>
            </w:pPr>
            <w:r>
              <w:rPr>
                <w:rFonts w:ascii="宋体" w:hAnsi="宋体" w:eastAsia="宋体" w:cs="宋体"/>
                <w:b/>
                <w:bCs/>
                <w:kern w:val="0"/>
                <w:sz w:val="21"/>
                <w:szCs w:val="21"/>
                <w:bdr w:val="none" w:color="auto" w:sz="0" w:space="0"/>
                <w:lang w:val="en-US" w:eastAsia="zh-CN" w:bidi="ar"/>
              </w:rPr>
              <w:t>United States Toxic Substances Control Act (TSCA) Inventory</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49269DE4">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Listed.</w:t>
            </w:r>
          </w:p>
        </w:tc>
      </w:tr>
      <w:tr w14:paraId="46175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shd w:val="clear"/>
            <w:vAlign w:val="center"/>
          </w:tcPr>
          <w:p w14:paraId="3FC0C819">
            <w:pPr>
              <w:keepNext w:val="0"/>
              <w:keepLines w:val="0"/>
              <w:widowControl/>
              <w:suppressLineNumbers w:val="0"/>
              <w:jc w:val="left"/>
              <w:rPr>
                <w:b/>
                <w:bCs/>
                <w:sz w:val="21"/>
                <w:szCs w:val="21"/>
              </w:rPr>
            </w:pPr>
            <w:r>
              <w:rPr>
                <w:rFonts w:ascii="宋体" w:hAnsi="宋体" w:eastAsia="宋体" w:cs="宋体"/>
                <w:b/>
                <w:bCs/>
                <w:kern w:val="0"/>
                <w:sz w:val="21"/>
                <w:szCs w:val="21"/>
                <w:bdr w:val="none" w:color="auto" w:sz="0" w:space="0"/>
                <w:lang w:val="en-US" w:eastAsia="zh-CN" w:bidi="ar"/>
              </w:rPr>
              <w:t>China Catalog of Hazardous chemicals 2015</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056762B5">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Not Listed.</w:t>
            </w:r>
          </w:p>
        </w:tc>
      </w:tr>
      <w:tr w14:paraId="36CDD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shd w:val="clear"/>
            <w:vAlign w:val="center"/>
          </w:tcPr>
          <w:p w14:paraId="04A82643">
            <w:pPr>
              <w:keepNext w:val="0"/>
              <w:keepLines w:val="0"/>
              <w:widowControl/>
              <w:suppressLineNumbers w:val="0"/>
              <w:jc w:val="left"/>
              <w:rPr>
                <w:b/>
                <w:bCs/>
                <w:sz w:val="21"/>
                <w:szCs w:val="21"/>
              </w:rPr>
            </w:pPr>
            <w:r>
              <w:rPr>
                <w:rFonts w:ascii="宋体" w:hAnsi="宋体" w:eastAsia="宋体" w:cs="宋体"/>
                <w:b/>
                <w:bCs/>
                <w:kern w:val="0"/>
                <w:sz w:val="21"/>
                <w:szCs w:val="21"/>
                <w:bdr w:val="none" w:color="auto" w:sz="0" w:space="0"/>
                <w:lang w:val="en-US" w:eastAsia="zh-CN" w:bidi="ar"/>
              </w:rPr>
              <w:t>New Zealand Inventory of Chemicals (NZIoC)</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26FDEB39">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Listed.</w:t>
            </w:r>
          </w:p>
        </w:tc>
      </w:tr>
      <w:tr w14:paraId="4D14E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shd w:val="clear"/>
            <w:vAlign w:val="center"/>
          </w:tcPr>
          <w:p w14:paraId="7CFA19FF">
            <w:pPr>
              <w:keepNext w:val="0"/>
              <w:keepLines w:val="0"/>
              <w:widowControl/>
              <w:suppressLineNumbers w:val="0"/>
              <w:jc w:val="left"/>
              <w:rPr>
                <w:b/>
                <w:bCs/>
                <w:sz w:val="21"/>
                <w:szCs w:val="21"/>
              </w:rPr>
            </w:pPr>
            <w:r>
              <w:rPr>
                <w:rFonts w:ascii="宋体" w:hAnsi="宋体" w:eastAsia="宋体" w:cs="宋体"/>
                <w:b/>
                <w:bCs/>
                <w:kern w:val="0"/>
                <w:sz w:val="21"/>
                <w:szCs w:val="21"/>
                <w:bdr w:val="none" w:color="auto" w:sz="0" w:space="0"/>
                <w:lang w:val="en-US" w:eastAsia="zh-CN" w:bidi="ar"/>
              </w:rPr>
              <w:t>Philippines Inventory of Chemicals and Chemical Substances (PICCS)</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573B2997">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Not Listed.</w:t>
            </w:r>
          </w:p>
        </w:tc>
      </w:tr>
      <w:tr w14:paraId="17D15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shd w:val="clear"/>
            <w:vAlign w:val="center"/>
          </w:tcPr>
          <w:p w14:paraId="4AA60D34">
            <w:pPr>
              <w:keepNext w:val="0"/>
              <w:keepLines w:val="0"/>
              <w:widowControl/>
              <w:suppressLineNumbers w:val="0"/>
              <w:jc w:val="left"/>
              <w:rPr>
                <w:b/>
                <w:bCs/>
                <w:sz w:val="21"/>
                <w:szCs w:val="21"/>
              </w:rPr>
            </w:pPr>
            <w:r>
              <w:rPr>
                <w:rFonts w:ascii="宋体" w:hAnsi="宋体" w:eastAsia="宋体" w:cs="宋体"/>
                <w:b/>
                <w:bCs/>
                <w:kern w:val="0"/>
                <w:sz w:val="21"/>
                <w:szCs w:val="21"/>
                <w:bdr w:val="none" w:color="auto" w:sz="0" w:space="0"/>
                <w:lang w:val="en-US" w:eastAsia="zh-CN" w:bidi="ar"/>
              </w:rPr>
              <w:t>Vietnam National Chemical Inventory</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632028F4">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Listed.</w:t>
            </w:r>
          </w:p>
        </w:tc>
      </w:tr>
      <w:tr w14:paraId="0FBFC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shd w:val="clear"/>
            <w:vAlign w:val="center"/>
          </w:tcPr>
          <w:p w14:paraId="3D50F7F7">
            <w:pPr>
              <w:keepNext w:val="0"/>
              <w:keepLines w:val="0"/>
              <w:widowControl/>
              <w:suppressLineNumbers w:val="0"/>
              <w:jc w:val="left"/>
              <w:rPr>
                <w:b/>
                <w:bCs/>
                <w:sz w:val="21"/>
                <w:szCs w:val="21"/>
              </w:rPr>
            </w:pPr>
            <w:r>
              <w:rPr>
                <w:rFonts w:ascii="宋体" w:hAnsi="宋体" w:eastAsia="宋体" w:cs="宋体"/>
                <w:b/>
                <w:bCs/>
                <w:kern w:val="0"/>
                <w:sz w:val="21"/>
                <w:szCs w:val="21"/>
                <w:bdr w:val="none" w:color="auto" w:sz="0" w:space="0"/>
                <w:lang w:val="en-US" w:eastAsia="zh-CN" w:bidi="ar"/>
              </w:rPr>
              <w:t>Chinese Chemical Inventory of Existing Chemical Substances (China IECSC)</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2E22419A">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Listed.</w:t>
            </w:r>
          </w:p>
        </w:tc>
      </w:tr>
      <w:tr w14:paraId="4CA3D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shd w:val="clear"/>
            <w:vAlign w:val="center"/>
          </w:tcPr>
          <w:p w14:paraId="2350D113">
            <w:pPr>
              <w:keepNext w:val="0"/>
              <w:keepLines w:val="0"/>
              <w:widowControl/>
              <w:suppressLineNumbers w:val="0"/>
              <w:jc w:val="left"/>
              <w:rPr>
                <w:b/>
                <w:bCs/>
                <w:sz w:val="21"/>
                <w:szCs w:val="21"/>
              </w:rPr>
            </w:pPr>
            <w:r>
              <w:rPr>
                <w:rFonts w:ascii="宋体" w:hAnsi="宋体" w:eastAsia="宋体" w:cs="宋体"/>
                <w:b/>
                <w:bCs/>
                <w:kern w:val="0"/>
                <w:sz w:val="21"/>
                <w:szCs w:val="21"/>
                <w:bdr w:val="none" w:color="auto" w:sz="0" w:space="0"/>
                <w:lang w:val="en-US" w:eastAsia="zh-CN" w:bidi="ar"/>
              </w:rPr>
              <w:t>Korea Existing Chemicals List (KECL)</w:t>
            </w:r>
          </w:p>
        </w:tc>
        <w:tc>
          <w:tcPr>
            <w:tcW w:w="0" w:type="auto"/>
            <w:tcBorders>
              <w:top w:val="single" w:color="000000" w:sz="6" w:space="0"/>
              <w:left w:val="single" w:color="000000" w:sz="6" w:space="0"/>
              <w:bottom w:val="single" w:color="000000" w:sz="6" w:space="0"/>
              <w:right w:val="single" w:color="000000" w:sz="6" w:space="0"/>
            </w:tcBorders>
            <w:shd w:val="clear"/>
            <w:vAlign w:val="center"/>
          </w:tcPr>
          <w:p w14:paraId="0622302E">
            <w:pPr>
              <w:keepNext w:val="0"/>
              <w:keepLines w:val="0"/>
              <w:widowControl/>
              <w:suppressLineNumbers w:val="0"/>
              <w:jc w:val="center"/>
              <w:rPr>
                <w:sz w:val="21"/>
                <w:szCs w:val="21"/>
              </w:rPr>
            </w:pPr>
            <w:r>
              <w:rPr>
                <w:rFonts w:ascii="宋体" w:hAnsi="宋体" w:eastAsia="宋体" w:cs="宋体"/>
                <w:kern w:val="0"/>
                <w:sz w:val="21"/>
                <w:szCs w:val="21"/>
                <w:bdr w:val="none" w:color="auto" w:sz="0" w:space="0"/>
                <w:lang w:val="en-US" w:eastAsia="zh-CN" w:bidi="ar"/>
              </w:rPr>
              <w:t>Listed.</w:t>
            </w:r>
          </w:p>
        </w:tc>
      </w:tr>
    </w:tbl>
    <w:p w14:paraId="72A35C68">
      <w:pPr>
        <w:pStyle w:val="3"/>
        <w:keepNext w:val="0"/>
        <w:keepLines w:val="0"/>
        <w:widowControl/>
        <w:suppressLineNumbers w:val="0"/>
        <w:pBdr>
          <w:top w:val="single" w:color="auto" w:sz="6" w:space="0"/>
        </w:pBdr>
        <w:spacing w:before="150" w:beforeAutospacing="0" w:after="150" w:afterAutospacing="0"/>
        <w:ind w:left="0" w:right="0"/>
        <w:rPr>
          <w:b/>
          <w:bCs/>
          <w:sz w:val="30"/>
          <w:szCs w:val="30"/>
        </w:rPr>
      </w:pPr>
      <w:r>
        <w:rPr>
          <w:b/>
          <w:bCs/>
          <w:sz w:val="30"/>
          <w:szCs w:val="30"/>
        </w:rPr>
        <w:t>SECTION 16: Other information</w:t>
      </w:r>
    </w:p>
    <w:p w14:paraId="4206FCAC">
      <w:pPr>
        <w:pStyle w:val="5"/>
        <w:keepNext w:val="0"/>
        <w:keepLines w:val="0"/>
        <w:widowControl/>
        <w:suppressLineNumbers w:val="0"/>
        <w:spacing w:before="150" w:beforeAutospacing="0" w:after="150" w:afterAutospacing="0"/>
        <w:ind w:left="0" w:right="0"/>
        <w:rPr>
          <w:b/>
          <w:bCs/>
          <w:sz w:val="21"/>
          <w:szCs w:val="21"/>
        </w:rPr>
      </w:pPr>
      <w:r>
        <w:rPr>
          <w:b/>
          <w:bCs/>
          <w:sz w:val="21"/>
          <w:szCs w:val="21"/>
        </w:rPr>
        <w:t>Information on revision</w:t>
      </w:r>
    </w:p>
    <w:tbl>
      <w:tblPr>
        <w:tblW w:w="11805" w:type="dxa"/>
        <w:tblInd w:w="-7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529"/>
        <w:gridCol w:w="8276"/>
      </w:tblGrid>
      <w:tr w14:paraId="78809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58237424">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Creation Date</w:t>
            </w:r>
          </w:p>
        </w:tc>
        <w:tc>
          <w:tcPr>
            <w:tcW w:w="8234" w:type="dxa"/>
            <w:tcBorders>
              <w:top w:val="nil"/>
              <w:left w:val="nil"/>
              <w:bottom w:val="nil"/>
              <w:right w:val="nil"/>
            </w:tcBorders>
            <w:shd w:val="clear"/>
            <w:vAlign w:val="top"/>
          </w:tcPr>
          <w:p w14:paraId="70F473C2">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October 1</w:t>
            </w:r>
            <w:r>
              <w:rPr>
                <w:rFonts w:hint="eastAsia" w:ascii="宋体" w:hAnsi="宋体" w:eastAsia="宋体" w:cs="宋体"/>
                <w:kern w:val="0"/>
                <w:sz w:val="21"/>
                <w:szCs w:val="21"/>
                <w:bdr w:val="none" w:color="auto" w:sz="0" w:space="0"/>
                <w:lang w:val="en-US" w:eastAsia="zh-CN" w:bidi="ar"/>
              </w:rPr>
              <w:t>2</w:t>
            </w:r>
            <w:r>
              <w:rPr>
                <w:rFonts w:ascii="宋体" w:hAnsi="宋体" w:eastAsia="宋体" w:cs="宋体"/>
                <w:kern w:val="0"/>
                <w:sz w:val="21"/>
                <w:szCs w:val="21"/>
                <w:bdr w:val="none" w:color="auto" w:sz="0" w:space="0"/>
                <w:lang w:val="en-US" w:eastAsia="zh-CN" w:bidi="ar"/>
              </w:rPr>
              <w:t>, 2025</w:t>
            </w:r>
          </w:p>
        </w:tc>
      </w:tr>
      <w:tr w14:paraId="0CB6C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3511" w:type="dxa"/>
            <w:tcBorders>
              <w:top w:val="nil"/>
              <w:left w:val="nil"/>
              <w:bottom w:val="nil"/>
              <w:right w:val="nil"/>
            </w:tcBorders>
            <w:shd w:val="clear"/>
            <w:vAlign w:val="top"/>
          </w:tcPr>
          <w:p w14:paraId="36045F83">
            <w:pPr>
              <w:keepNext w:val="0"/>
              <w:keepLines w:val="0"/>
              <w:widowControl/>
              <w:suppressLineNumbers w:val="0"/>
              <w:jc w:val="left"/>
              <w:textAlignment w:val="top"/>
              <w:rPr>
                <w:b/>
                <w:bCs/>
                <w:sz w:val="21"/>
                <w:szCs w:val="21"/>
              </w:rPr>
            </w:pPr>
            <w:r>
              <w:rPr>
                <w:rFonts w:ascii="宋体" w:hAnsi="宋体" w:eastAsia="宋体" w:cs="宋体"/>
                <w:b/>
                <w:bCs/>
                <w:kern w:val="0"/>
                <w:sz w:val="21"/>
                <w:szCs w:val="21"/>
                <w:bdr w:val="none" w:color="auto" w:sz="0" w:space="0"/>
                <w:lang w:val="en-US" w:eastAsia="zh-CN" w:bidi="ar"/>
              </w:rPr>
              <w:t>Revision Date</w:t>
            </w:r>
          </w:p>
        </w:tc>
        <w:tc>
          <w:tcPr>
            <w:tcW w:w="8234" w:type="dxa"/>
            <w:tcBorders>
              <w:top w:val="nil"/>
              <w:left w:val="nil"/>
              <w:bottom w:val="nil"/>
              <w:right w:val="nil"/>
            </w:tcBorders>
            <w:shd w:val="clear"/>
            <w:vAlign w:val="top"/>
          </w:tcPr>
          <w:p w14:paraId="30371A0A">
            <w:pPr>
              <w:keepNext w:val="0"/>
              <w:keepLines w:val="0"/>
              <w:widowControl/>
              <w:suppressLineNumbers w:val="0"/>
              <w:jc w:val="left"/>
              <w:textAlignment w:val="top"/>
              <w:rPr>
                <w:sz w:val="21"/>
                <w:szCs w:val="21"/>
              </w:rPr>
            </w:pPr>
            <w:r>
              <w:rPr>
                <w:rFonts w:ascii="宋体" w:hAnsi="宋体" w:eastAsia="宋体" w:cs="宋体"/>
                <w:kern w:val="0"/>
                <w:sz w:val="21"/>
                <w:szCs w:val="21"/>
                <w:bdr w:val="none" w:color="auto" w:sz="0" w:space="0"/>
                <w:lang w:val="en-US" w:eastAsia="zh-CN" w:bidi="ar"/>
              </w:rPr>
              <w:t>October 1</w:t>
            </w:r>
            <w:r>
              <w:rPr>
                <w:rFonts w:hint="eastAsia" w:ascii="宋体" w:hAnsi="宋体" w:eastAsia="宋体" w:cs="宋体"/>
                <w:kern w:val="0"/>
                <w:sz w:val="21"/>
                <w:szCs w:val="21"/>
                <w:bdr w:val="none" w:color="auto" w:sz="0" w:space="0"/>
                <w:lang w:val="en-US" w:eastAsia="zh-CN" w:bidi="ar"/>
              </w:rPr>
              <w:t>2</w:t>
            </w:r>
            <w:r>
              <w:rPr>
                <w:rFonts w:ascii="宋体" w:hAnsi="宋体" w:eastAsia="宋体" w:cs="宋体"/>
                <w:kern w:val="0"/>
                <w:sz w:val="21"/>
                <w:szCs w:val="21"/>
                <w:bdr w:val="none" w:color="auto" w:sz="0" w:space="0"/>
                <w:lang w:val="en-US" w:eastAsia="zh-CN" w:bidi="ar"/>
              </w:rPr>
              <w:t>, 2025</w:t>
            </w:r>
          </w:p>
        </w:tc>
      </w:tr>
    </w:tbl>
    <w:p w14:paraId="1D4ADD75">
      <w:pPr>
        <w:pStyle w:val="5"/>
        <w:keepNext w:val="0"/>
        <w:keepLines w:val="0"/>
        <w:widowControl/>
        <w:suppressLineNumbers w:val="0"/>
        <w:spacing w:before="150" w:beforeAutospacing="0" w:after="150" w:afterAutospacing="0"/>
        <w:ind w:left="0" w:right="0"/>
        <w:rPr>
          <w:b/>
          <w:bCs/>
          <w:sz w:val="21"/>
          <w:szCs w:val="21"/>
        </w:rPr>
      </w:pPr>
      <w:r>
        <w:rPr>
          <w:b/>
          <w:bCs/>
          <w:sz w:val="21"/>
          <w:szCs w:val="21"/>
        </w:rPr>
        <w:t>Abbreviations and acronyms</w:t>
      </w:r>
    </w:p>
    <w:p w14:paraId="7F724A25">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bdr w:val="none" w:color="auto" w:sz="0" w:space="0"/>
        </w:rPr>
        <w:t>CAS: Chemical Abstracts Service</w:t>
      </w:r>
    </w:p>
    <w:p w14:paraId="2365F9B2">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bdr w:val="none" w:color="auto" w:sz="0" w:space="0"/>
        </w:rPr>
        <w:t>ADR: European Agreement concerning the International Carriage of Dangerous Goods by Road</w:t>
      </w:r>
    </w:p>
    <w:p w14:paraId="269C0055">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bdr w:val="none" w:color="auto" w:sz="0" w:space="0"/>
        </w:rPr>
        <w:t>RID: Regulation concerning the International Carriage of Dangerous Goods by Rail</w:t>
      </w:r>
    </w:p>
    <w:p w14:paraId="6F454C22">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bdr w:val="none" w:color="auto" w:sz="0" w:space="0"/>
        </w:rPr>
        <w:t>IMDG: International Maritime Dangerous Goods</w:t>
      </w:r>
    </w:p>
    <w:p w14:paraId="7826161E">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bdr w:val="none" w:color="auto" w:sz="0" w:space="0"/>
        </w:rPr>
        <w:t>IATA: International Air Transportation Association</w:t>
      </w:r>
    </w:p>
    <w:p w14:paraId="44099325">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bdr w:val="none" w:color="auto" w:sz="0" w:space="0"/>
        </w:rPr>
        <w:t>TWA: Time Weighted Average</w:t>
      </w:r>
    </w:p>
    <w:p w14:paraId="4D45120D">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bdr w:val="none" w:color="auto" w:sz="0" w:space="0"/>
        </w:rPr>
        <w:t>STEL: Short term exposure limit</w:t>
      </w:r>
    </w:p>
    <w:p w14:paraId="22B736F4">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bdr w:val="none" w:color="auto" w:sz="0" w:space="0"/>
        </w:rPr>
        <w:t>LC50: Lethal Concentration 50%</w:t>
      </w:r>
    </w:p>
    <w:p w14:paraId="35AF90DE">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bdr w:val="none" w:color="auto" w:sz="0" w:space="0"/>
        </w:rPr>
        <w:t>LD50: Lethal Dose 50%</w:t>
      </w:r>
    </w:p>
    <w:p w14:paraId="13CA1A18">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bdr w:val="none" w:color="auto" w:sz="0" w:space="0"/>
        </w:rPr>
        <w:t>EC50: Effective Concentration 50%</w:t>
      </w:r>
    </w:p>
    <w:p w14:paraId="62B16EC5">
      <w:pPr>
        <w:pStyle w:val="5"/>
        <w:keepNext w:val="0"/>
        <w:keepLines w:val="0"/>
        <w:widowControl/>
        <w:suppressLineNumbers w:val="0"/>
        <w:spacing w:before="150" w:beforeAutospacing="0" w:after="150" w:afterAutospacing="0"/>
        <w:ind w:left="0" w:right="0"/>
        <w:rPr>
          <w:b/>
          <w:bCs/>
          <w:sz w:val="21"/>
          <w:szCs w:val="21"/>
        </w:rPr>
      </w:pPr>
      <w:r>
        <w:rPr>
          <w:b/>
          <w:bCs/>
          <w:sz w:val="21"/>
          <w:szCs w:val="21"/>
        </w:rPr>
        <w:t>References</w:t>
      </w:r>
    </w:p>
    <w:p w14:paraId="21B4A056">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bdr w:val="none" w:color="auto" w:sz="0" w:space="0"/>
        </w:rPr>
        <w:t>IPCS - The International Chemical Safety Cards (ICSC), website: http://www.ilo.org/dyn/icsc/showcard.home</w:t>
      </w:r>
    </w:p>
    <w:p w14:paraId="5E9A8FEB">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bdr w:val="none" w:color="auto" w:sz="0" w:space="0"/>
        </w:rPr>
        <w:t>HSDB - Hazardous Substances Data Bank, website: https://toxnet.nlm.nih.gov/newtoxnet/hsdb.htm</w:t>
      </w:r>
    </w:p>
    <w:p w14:paraId="3E89C3BC">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bdr w:val="none" w:color="auto" w:sz="0" w:space="0"/>
        </w:rPr>
        <w:t>IARC - International Agency for Research on Cancer, website: http://www.iarc.fr/</w:t>
      </w:r>
    </w:p>
    <w:p w14:paraId="258AB18E">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bdr w:val="none" w:color="auto" w:sz="0" w:space="0"/>
        </w:rPr>
        <w:t>eChemPortal - The Global Portal to Information on Chemical Substances by OECD, website: http://www.echemportal.org/echemportal/index?pageID=0&amp;request_locale=en</w:t>
      </w:r>
    </w:p>
    <w:p w14:paraId="011E293B">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bdr w:val="none" w:color="auto" w:sz="0" w:space="0"/>
        </w:rPr>
        <w:t>CAMEO Chemicals, website: http://cameochemicals.noaa.gov/search/simple</w:t>
      </w:r>
    </w:p>
    <w:p w14:paraId="454BFD5A">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bdr w:val="none" w:color="auto" w:sz="0" w:space="0"/>
        </w:rPr>
        <w:t>ChemIDplus, website: http://chem.sis.nlm.nih.gov/chemidplus/chemidlite.jsp</w:t>
      </w:r>
    </w:p>
    <w:p w14:paraId="385BB4F3">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bdr w:val="none" w:color="auto" w:sz="0" w:space="0"/>
        </w:rPr>
        <w:t>ERG - Emergency Response Guidebook by U.S. Department of Transportation, website: http://www.phmsa.dot.gov/hazmat/library/erg</w:t>
      </w:r>
    </w:p>
    <w:p w14:paraId="4FA8259E">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bdr w:val="none" w:color="auto" w:sz="0" w:space="0"/>
        </w:rPr>
        <w:t>Germany GESTIS-database on hazard substance, website: http://www.dguv.de/ifa/gestis/gestis-stoffdatenbank/index-2.jsp</w:t>
      </w:r>
    </w:p>
    <w:p w14:paraId="6CA0BA76">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bdr w:val="none" w:color="auto" w:sz="0" w:space="0"/>
        </w:rPr>
        <w:t>ECHA - European Chemicals Agency, website: https://echa.europa.eu/</w:t>
      </w:r>
    </w:p>
    <w:p w14:paraId="0DD1797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7A93D"/>
    <w:multiLevelType w:val="multilevel"/>
    <w:tmpl w:val="BF27A93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FC966031"/>
    <w:multiLevelType w:val="multilevel"/>
    <w:tmpl w:val="FC96603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1C2C9C64"/>
    <w:multiLevelType w:val="multilevel"/>
    <w:tmpl w:val="1C2C9C6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62BED045"/>
    <w:multiLevelType w:val="multilevel"/>
    <w:tmpl w:val="62BED04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F20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2026-01-14T00:39:39Z</dcterms:created>
  <dc:creator>Administrator</dc:creator>
  <cp:lastModifiedBy>浩宇航布鑫宇</cp:lastModifiedBy>
  <dcterms:modified xsi:type="dcterms:W3CDTF">2026-01-14T00:42:21Z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eyJoZGlkIjoiMDhjZTJhMzg5ZmQxNzU1YTE3MmJmODkzYzY4YjdkZjkiLCJ1c2VySWQiOiIxNzkwMzQ5NDM2In0=</vt:lpwstr>
  </property>
  <property fmtid="{D5CDD505-2E9C-101B-9397-08002B2CF9AE}" pid="4" name="ICV">
    <vt:lpwstr>13A03546B34A46C98C1CC9ED708F1157_12</vt:lpwstr>
  </property>
</Properties>
</file>